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Stonehouse Jon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4505 EMPEROR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BIOCRYST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1"/>
        <w:gridCol w:w="931"/>
        <w:gridCol w:w="798"/>
        <w:gridCol w:w="618"/>
        <w:gridCol w:w="349"/>
        <w:gridCol w:w="788"/>
        <w:gridCol w:w="438"/>
        <w:gridCol w:w="607"/>
        <w:gridCol w:w="1281"/>
        <w:gridCol w:w="992"/>
        <w:gridCol w:w="126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3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9.7</w:t>
            </w:r>
          </w:p>
        </w:tc>
        <w:tc>
          <w:tcPr>
            <w:tcW w:w="12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1,340,419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wife as co-trustee of the Caroline Stonehouse Irrevocable Trust</w:t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wife as co-trustee of the Samuel Stonehouse Irrevocable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Common Stock issued to the reporting person in lieu of 50% of the quarterly cash Board Member retainer of $12,500.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Alane P. Barnes,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5496" TargetMode="External"/><Relationship Id="rId5" Type="http://schemas.openxmlformats.org/officeDocument/2006/relationships/hyperlink" Target="http://www.sec.gov/cgi-bin/browse-edgar?action=getcompany&amp;CIK=00008827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3318</Characters>
  <CharactersWithSpaces>3859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