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10,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BioCryst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000-23186</w:t>
            </w:r>
          </w:p>
        </w:tc>
        <w:tc>
          <w:tcPr>
            <w:tcW w:w="18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16"/>
        </w:trPr>
        <w:tc>
          <w:tcPr>
            <w:tcW w:w="2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of Incorporation)</w:t>
            </w:r>
          </w:p>
        </w:tc>
        <w:tc>
          <w:tcPr>
            <w:tcW w:w="5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40" w:type="dxa"/>
            <w:vAlign w:val="bottom"/>
          </w:tcPr>
          <w:p>
            <w:pPr>
              <w:spacing w:after="0"/>
              <w:rPr>
                <w:sz w:val="24"/>
                <w:szCs w:val="24"/>
                <w:color w:val="auto"/>
              </w:rPr>
            </w:pPr>
          </w:p>
        </w:tc>
        <w:tc>
          <w:tcPr>
            <w:tcW w:w="5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184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Durham, North Carolina 27703</w:t>
            </w:r>
          </w:p>
        </w:tc>
        <w:tc>
          <w:tcPr>
            <w:tcW w:w="1840" w:type="dxa"/>
            <w:vAlign w:val="bottom"/>
          </w:tcPr>
          <w:p>
            <w:pPr>
              <w:spacing w:after="0"/>
              <w:rPr>
                <w:sz w:val="19"/>
                <w:szCs w:val="19"/>
                <w:color w:val="auto"/>
              </w:rPr>
            </w:pPr>
          </w:p>
        </w:tc>
      </w:tr>
      <w:tr>
        <w:trPr>
          <w:trHeight w:val="234"/>
        </w:trPr>
        <w:tc>
          <w:tcPr>
            <w:tcW w:w="2240" w:type="dxa"/>
            <w:vAlign w:val="bottom"/>
          </w:tcPr>
          <w:p>
            <w:pPr>
              <w:spacing w:after="0"/>
              <w:rPr>
                <w:sz w:val="20"/>
                <w:szCs w:val="20"/>
                <w:color w:val="auto"/>
              </w:rPr>
            </w:pPr>
          </w:p>
        </w:tc>
        <w:tc>
          <w:tcPr>
            <w:tcW w:w="5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840" w:type="dxa"/>
            <w:vAlign w:val="bottom"/>
          </w:tcPr>
          <w:p>
            <w:pPr>
              <w:spacing w:after="0"/>
              <w:rPr>
                <w:sz w:val="20"/>
                <w:szCs w:val="20"/>
                <w:color w:val="auto"/>
              </w:rPr>
            </w:pPr>
          </w:p>
        </w:tc>
      </w:tr>
      <w:tr>
        <w:trPr>
          <w:trHeight w:val="414"/>
        </w:trPr>
        <w:tc>
          <w:tcPr>
            <w:tcW w:w="2240" w:type="dxa"/>
            <w:vAlign w:val="bottom"/>
          </w:tcPr>
          <w:p>
            <w:pPr>
              <w:spacing w:after="0"/>
              <w:rPr>
                <w:sz w:val="24"/>
                <w:szCs w:val="24"/>
                <w:color w:val="auto"/>
              </w:rPr>
            </w:pPr>
          </w:p>
        </w:tc>
        <w:tc>
          <w:tcPr>
            <w:tcW w:w="524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(919) 859-1302</w:t>
            </w:r>
          </w:p>
        </w:tc>
        <w:tc>
          <w:tcPr>
            <w:tcW w:w="18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2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0"/>
                <w:szCs w:val="20"/>
                <w:color w:val="auto"/>
              </w:rPr>
            </w:pPr>
          </w:p>
        </w:tc>
      </w:tr>
      <w:tr>
        <w:trPr>
          <w:trHeight w:val="414"/>
        </w:trPr>
        <w:tc>
          <w:tcPr>
            <w:tcW w:w="2240" w:type="dxa"/>
            <w:vAlign w:val="bottom"/>
          </w:tcPr>
          <w:p>
            <w:pPr>
              <w:spacing w:after="0"/>
              <w:rPr>
                <w:sz w:val="24"/>
                <w:szCs w:val="24"/>
                <w:color w:val="auto"/>
              </w:rPr>
            </w:pPr>
          </w:p>
        </w:tc>
        <w:tc>
          <w:tcPr>
            <w:tcW w:w="5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8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2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42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BCRX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BioCryst Pharmaceuticals, Inc. (the “Company”) received a notice letter (the “Notice Letter”) from Annora Pharma Private Limited (“Annora”) advising that Annora has submitted an Abbreviated New Drug Application (“ANDA”) to the U.S. Food and Drug Administration (“FDA”) seeking approval to manufacture, use or sell a generic version of ORLADEYO in the United States prior to the expiration of three patents listed in the FDA’s Approved Drug Products with Therapeutic Equivalence Evaluations (the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2025, the Company filed a patent infringement lawsuit in the United States District Court for the District of Delaware against Annora, Hetero Labs Limited, Hetero USA, Inc., and Camber Pharmaceuticals, Inc. (the “Defendants”), asserting infringement of the Challenged Patents arising from Annora’s ANDA filing with the FDA. The Company is seeking, among other remedies, equitable relief enjoining the Defendants from infringing the Challenged Patents, as well as an order that the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ective date of any FDA approval of the ANDA would be a date no earlier than the expiration of the Challenged Patents (including any regulatory extensions). The Company intends to vigorously defend its intellectual property rights protecting ORLADEYO.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regarding the Company’s intention to vigorously defend its intellectual property rights. These statements involve known and unknown risks, uncertainties and other factors which may cause actual results, performance or achievements to be materially different from any future results, performance or achievements expressed or implied by the forward-looking statements. These statements reflect our current belief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the Company’s ability to successfully enforce its intellectual property rights and to defend its patents; the costs associated with the patent infringement lawsuit or any potential future lawsuits the Company may be required to file to defend its patent rights; and the possible introduction and timing of generic competition to ORLADEYO. Please refer to the documents the Company files periodically with the Securities and Exchange Commission, specifically the Company’s most recent Annual Report on Form 10-K, Quarterly Reports on Form 10-Q, and Current Reports on Form 8-K, which identify important factors that could cause the actual results to differ materially from those contained in the Company’s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1179195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March 11, 2025</w:t>
      </w:r>
      <w:r>
        <w:rPr>
          <w:sz w:val="20"/>
          <w:szCs w:val="20"/>
          <w:color w:val="auto"/>
        </w:rPr>
        <w:tab/>
      </w:r>
      <w:r>
        <w:rPr>
          <w:rFonts w:ascii="Times New Roman" w:cs="Times New Roman" w:eastAsia="Times New Roman" w:hAnsi="Times New Roman"/>
          <w:sz w:val="17"/>
          <w:szCs w:val="17"/>
          <w:b w:val="1"/>
          <w:bCs w:val="1"/>
          <w:color w:val="auto"/>
        </w:rPr>
        <w:t>BioCryst Pharmaceuticals,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Alane Barnes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2025-03-11T05:33:25Z</dcterms:created>
  <dcterms:modified xsi:type="dcterms:W3CDTF">2025-03-11T05:33:25Z</dcterms:modified>
</cp:coreProperties>
</file>