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BioCryst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15,827,186.00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15,827,186.00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15,827,186.00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15,827,186.00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15,827,186.00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15,827,186.00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15,827,186.00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15,827,186.00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15,827,186.00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15,827,186.00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15,827,186.00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15,827,186.00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BioCryst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4505 Emperor Blvd., Suite 200, Durham, NC, 27703.</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shares of common stock of the Issuer beneficially owned by such Reporting Person as of June 30, 2026 and is incorporated by reference. The Fund directly holds 15,827,186 shares of the Issuer's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13G/A sets forth the percentages of the shares of common stock of the Issuer beneficially owned by such Reporting Person as of June 30, 2026 and is incorporated by reference. The percentage set forth in each row 11 is based upon 255,265,000 shares of common stock outstanding as of June 30, 2026, as reported in the Issuer's Quarterly Report on Form 10-Q filed with the Securities and Exchange Commission (the "SEC") on August 5, 2026.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Schedule 13G filed on November 12,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1779</Words>
  <Characters>9075</Characters>
  <CharactersWithSpaces>10787</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