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jc w:val="both"/>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quarterly period ended September 30, 2026</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200" w:after="283"/>
        <w:jc w:val="both"/>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______________________ to 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000-23186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2"/>
        <w:gridCol w:w="1046"/>
        <w:gridCol w:w="1062"/>
        <w:gridCol w:w="481"/>
        <w:gridCol w:w="481"/>
        <w:gridCol w:w="687"/>
      </w:tblGrid>
      <w:t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62-1413174</w:t>
            </w:r>
          </w:p>
        </w:tc>
      </w:tr>
      <w:t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4505 Emperor Blvd., Suite 200</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27703</w:t>
            </w:r>
          </w:p>
        </w:tc>
      </w:tr>
      <w:t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+1-919-859-1302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27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BCRX</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October 30, 2026, the registrant had 257,299,269 shares of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395"/>
        <w:gridCol w:w="2983"/>
        <w:gridCol w:w="2994"/>
        <w:gridCol w:w="243"/>
        <w:gridCol w:w="243"/>
        <w:gridCol w:w="347"/>
      </w:tblGrid>
      <w:tr>
        <w:tc>
          <w:tcPr>
            <w:tcW w:w="3395"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c>
          <w:tcPr>
            <w:tcW w:w="9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c>
          <w:tcPr>
            <w:tcW w:w="9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0">
              <w:r>
                <w:rPr>
                  <w:rStyle w:val="InternetLink"/>
                  <w:rFonts w:ascii="Times New Roman;serif" w:hAnsi="Times New Roman;serif"/>
                  <w:b w:val="false"/>
                  <w:color w:val="0000FF"/>
                  <w:sz w:val="20"/>
                  <w:u w:val="single"/>
                </w:rPr>
                <w:t>Cautionary Note Regarding Forward-Looking Statements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0">
              <w:r>
                <w:rPr>
                  <w:rStyle w:val="InternetLink"/>
                  <w:rFonts w:ascii="Times New Roman;serif" w:hAnsi="Times New Roman;serif"/>
                  <w:b w:val="false"/>
                  <w:color w:val="0000FF"/>
                  <w:sz w:val="20"/>
                  <w:u w:val="single"/>
                </w:rPr>
                <w:t>i</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3">
              <w:r>
                <w:rPr>
                  <w:rStyle w:val="InternetLink"/>
                  <w:rFonts w:ascii="Times New Roman;serif" w:hAnsi="Times New Roman;serif"/>
                  <w:b w:val="false"/>
                  <w:color w:val="0000FF"/>
                  <w:sz w:val="20"/>
                  <w:u w:val="single"/>
                </w:rPr>
                <w:t>Risk Factor Summary</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3">
              <w:r>
                <w:rPr>
                  <w:rStyle w:val="InternetLink"/>
                  <w:rFonts w:ascii="Times New Roman;serif" w:hAnsi="Times New Roman;serif"/>
                  <w:b w:val="false"/>
                  <w:color w:val="0000FF"/>
                  <w:sz w:val="20"/>
                  <w:u w:val="single"/>
                </w:rPr>
                <w:t>ii</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6">
              <w:r>
                <w:rPr>
                  <w:rStyle w:val="InternetLink"/>
                  <w:rFonts w:ascii="Times New Roman;serif" w:hAnsi="Times New Roman;serif"/>
                  <w:b w:val="false"/>
                  <w:color w:val="0000FF"/>
                  <w:sz w:val="20"/>
                  <w:u w:val="single"/>
                </w:rPr>
                <w:t>Part I. Financial Information</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6">
              <w:r>
                <w:rPr>
                  <w:rStyle w:val="InternetLink"/>
                  <w:rFonts w:ascii="Times New Roman;serif" w:hAnsi="Times New Roman;serif"/>
                  <w:b w:val="false"/>
                  <w:color w:val="0000FF"/>
                  <w:sz w:val="20"/>
                  <w:u w:val="single"/>
                </w:rPr>
                <w:t>1</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9">
              <w:r>
                <w:rPr>
                  <w:rStyle w:val="InternetLink"/>
                  <w:rFonts w:ascii="Times New Roman;serif" w:hAnsi="Times New Roman;serif"/>
                  <w:b w:val="false"/>
                  <w:color w:val="0000FF"/>
                  <w:sz w:val="20"/>
                  <w:u w:val="single"/>
                </w:rPr>
                <w:t>Item 1. Financial Statements (Unaudited):</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9">
              <w:r>
                <w:rPr>
                  <w:rStyle w:val="InternetLink"/>
                  <w:rFonts w:ascii="Times New Roman;serif" w:hAnsi="Times New Roman;serif"/>
                  <w:b w:val="false"/>
                  <w:color w:val="0000FF"/>
                  <w:sz w:val="20"/>
                  <w:u w:val="single"/>
                </w:rPr>
                <w:t>1</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22">
              <w:r>
                <w:rPr>
                  <w:rStyle w:val="InternetLink"/>
                  <w:rFonts w:ascii="Times New Roman;serif" w:hAnsi="Times New Roman;serif"/>
                  <w:b w:val="false"/>
                  <w:color w:val="000080"/>
                  <w:sz w:val="20"/>
                  <w:u w:val="single"/>
                </w:rPr>
                <w:t xml:space="preserve">Condensed Consolidated Balance Sheets as of </w:t>
              </w:r>
            </w:hyperlink>
            <w:hyperlink w:anchor="i48d83cab57d141b58bbd36c6474203bf_22">
              <w:r>
                <w:rPr>
                  <w:rStyle w:val="InternetLink"/>
                  <w:rFonts w:ascii="Times New Roman;serif" w:hAnsi="Times New Roman;serif"/>
                  <w:b w:val="false"/>
                  <w:color w:val="000080"/>
                  <w:sz w:val="20"/>
                  <w:u w:val="single"/>
                </w:rPr>
                <w:t>September</w:t>
              </w:r>
            </w:hyperlink>
            <w:hyperlink w:anchor="i48d83cab57d141b58bbd36c6474203bf_22">
              <w:r>
                <w:rPr>
                  <w:rStyle w:val="InternetLink"/>
                  <w:rFonts w:ascii="Times New Roman;serif" w:hAnsi="Times New Roman;serif"/>
                  <w:b w:val="false"/>
                  <w:color w:val="000080"/>
                  <w:sz w:val="20"/>
                  <w:u w:val="single"/>
                </w:rPr>
                <w:t xml:space="preserve"> 30, 2026 and December 31, 2025</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22">
              <w:r>
                <w:rPr>
                  <w:rStyle w:val="InternetLink"/>
                  <w:rFonts w:ascii="Times New Roman;serif" w:hAnsi="Times New Roman;serif"/>
                  <w:b w:val="false"/>
                  <w:color w:val="0000FF"/>
                  <w:sz w:val="20"/>
                  <w:u w:val="single"/>
                </w:rPr>
                <w:t>1</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25">
              <w:r>
                <w:rPr>
                  <w:rStyle w:val="InternetLink"/>
                  <w:rFonts w:ascii="Times New Roman;serif" w:hAnsi="Times New Roman;serif"/>
                  <w:b w:val="false"/>
                  <w:color w:val="000080"/>
                  <w:sz w:val="20"/>
                  <w:u w:val="single"/>
                </w:rPr>
                <w:t xml:space="preserve">Condensed Consolidated Statements of Comprehensive Income (Loss) for the Three and </w:t>
              </w:r>
            </w:hyperlink>
            <w:hyperlink w:anchor="i48d83cab57d141b58bbd36c6474203bf_25">
              <w:r>
                <w:rPr>
                  <w:rStyle w:val="InternetLink"/>
                  <w:rFonts w:ascii="Times New Roman;serif" w:hAnsi="Times New Roman;serif"/>
                  <w:b w:val="false"/>
                  <w:color w:val="000080"/>
                  <w:sz w:val="20"/>
                  <w:u w:val="single"/>
                </w:rPr>
                <w:t>Nine</w:t>
              </w:r>
            </w:hyperlink>
            <w:hyperlink w:anchor="i48d83cab57d141b58bbd36c6474203bf_25">
              <w:r>
                <w:rPr>
                  <w:rStyle w:val="InternetLink"/>
                  <w:rFonts w:ascii="Times New Roman;serif" w:hAnsi="Times New Roman;serif"/>
                  <w:b w:val="false"/>
                  <w:color w:val="000080"/>
                  <w:sz w:val="20"/>
                  <w:u w:val="single"/>
                </w:rPr>
                <w:t xml:space="preserve"> Months Ended </w:t>
              </w:r>
            </w:hyperlink>
            <w:hyperlink w:anchor="i48d83cab57d141b58bbd36c6474203bf_25">
              <w:r>
                <w:rPr>
                  <w:rStyle w:val="InternetLink"/>
                  <w:rFonts w:ascii="Times New Roman;serif" w:hAnsi="Times New Roman;serif"/>
                  <w:b w:val="false"/>
                  <w:color w:val="000080"/>
                  <w:sz w:val="20"/>
                  <w:u w:val="single"/>
                </w:rPr>
                <w:t>September</w:t>
              </w:r>
            </w:hyperlink>
            <w:hyperlink w:anchor="i48d83cab57d141b58bbd36c6474203bf_25">
              <w:r>
                <w:rPr>
                  <w:rStyle w:val="InternetLink"/>
                  <w:rFonts w:ascii="Times New Roman;serif" w:hAnsi="Times New Roman;serif"/>
                  <w:b w:val="false"/>
                  <w:color w:val="000080"/>
                  <w:sz w:val="20"/>
                  <w:u w:val="single"/>
                </w:rPr>
                <w:t xml:space="preserve"> 30, 2026 and 2025</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25">
              <w:r>
                <w:rPr>
                  <w:rStyle w:val="InternetLink"/>
                  <w:rFonts w:ascii="Times New Roman;serif" w:hAnsi="Times New Roman;serif"/>
                  <w:b w:val="false"/>
                  <w:color w:val="0000FF"/>
                  <w:sz w:val="20"/>
                  <w:u w:val="single"/>
                </w:rPr>
                <w:t>2</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28">
              <w:r>
                <w:rPr>
                  <w:rStyle w:val="InternetLink"/>
                  <w:rFonts w:ascii="Times New Roman;serif" w:hAnsi="Times New Roman;serif"/>
                  <w:b w:val="false"/>
                  <w:color w:val="000080"/>
                  <w:sz w:val="20"/>
                  <w:u w:val="single"/>
                </w:rPr>
                <w:t xml:space="preserve">Condensed Consolidated Statements of Cash Flows for the </w:t>
              </w:r>
            </w:hyperlink>
            <w:hyperlink w:anchor="i48d83cab57d141b58bbd36c6474203bf_28">
              <w:r>
                <w:rPr>
                  <w:rStyle w:val="InternetLink"/>
                  <w:rFonts w:ascii="Times New Roman;serif" w:hAnsi="Times New Roman;serif"/>
                  <w:b w:val="false"/>
                  <w:color w:val="000080"/>
                  <w:sz w:val="20"/>
                  <w:u w:val="single"/>
                </w:rPr>
                <w:t>Nine</w:t>
              </w:r>
            </w:hyperlink>
            <w:hyperlink w:anchor="i48d83cab57d141b58bbd36c6474203bf_28">
              <w:r>
                <w:rPr>
                  <w:rStyle w:val="InternetLink"/>
                  <w:rFonts w:ascii="Times New Roman;serif" w:hAnsi="Times New Roman;serif"/>
                  <w:b w:val="false"/>
                  <w:color w:val="000080"/>
                  <w:sz w:val="20"/>
                  <w:u w:val="single"/>
                </w:rPr>
                <w:t xml:space="preserve"> Months Ended </w:t>
              </w:r>
            </w:hyperlink>
            <w:hyperlink w:anchor="i48d83cab57d141b58bbd36c6474203bf_28">
              <w:r>
                <w:rPr>
                  <w:rStyle w:val="InternetLink"/>
                  <w:rFonts w:ascii="Times New Roman;serif" w:hAnsi="Times New Roman;serif"/>
                  <w:b w:val="false"/>
                  <w:color w:val="000080"/>
                  <w:sz w:val="20"/>
                  <w:u w:val="single"/>
                </w:rPr>
                <w:t>September</w:t>
              </w:r>
            </w:hyperlink>
            <w:hyperlink w:anchor="i48d83cab57d141b58bbd36c6474203bf_28">
              <w:r>
                <w:rPr>
                  <w:rStyle w:val="InternetLink"/>
                  <w:rFonts w:ascii="Times New Roman;serif" w:hAnsi="Times New Roman;serif"/>
                  <w:b w:val="false"/>
                  <w:color w:val="000080"/>
                  <w:sz w:val="20"/>
                  <w:u w:val="single"/>
                </w:rPr>
                <w:t xml:space="preserve"> 30, 2026 and 2025</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28">
              <w:r>
                <w:rPr>
                  <w:rStyle w:val="InternetLink"/>
                  <w:rFonts w:ascii="Times New Roman;serif" w:hAnsi="Times New Roman;serif"/>
                  <w:b w:val="false"/>
                  <w:color w:val="0000FF"/>
                  <w:sz w:val="20"/>
                  <w:u w:val="single"/>
                </w:rPr>
                <w:t>3</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31">
              <w:r>
                <w:rPr>
                  <w:rStyle w:val="InternetLink"/>
                  <w:rFonts w:ascii="Times New Roman;serif" w:hAnsi="Times New Roman;serif"/>
                  <w:b w:val="false"/>
                  <w:color w:val="000080"/>
                  <w:sz w:val="20"/>
                  <w:u w:val="single"/>
                </w:rPr>
                <w:t xml:space="preserve">Condensed Consolidated Statements of Stockholders’ Deficit for the Three and </w:t>
              </w:r>
            </w:hyperlink>
            <w:hyperlink w:anchor="i48d83cab57d141b58bbd36c6474203bf_31">
              <w:r>
                <w:rPr>
                  <w:rStyle w:val="InternetLink"/>
                  <w:rFonts w:ascii="Times New Roman;serif" w:hAnsi="Times New Roman;serif"/>
                  <w:b w:val="false"/>
                  <w:color w:val="000080"/>
                  <w:sz w:val="20"/>
                  <w:u w:val="single"/>
                </w:rPr>
                <w:t>Nine</w:t>
              </w:r>
            </w:hyperlink>
            <w:hyperlink w:anchor="i48d83cab57d141b58bbd36c6474203bf_31">
              <w:r>
                <w:rPr>
                  <w:rStyle w:val="InternetLink"/>
                  <w:rFonts w:ascii="Times New Roman;serif" w:hAnsi="Times New Roman;serif"/>
                  <w:b w:val="false"/>
                  <w:color w:val="000080"/>
                  <w:sz w:val="20"/>
                  <w:u w:val="single"/>
                </w:rPr>
                <w:t xml:space="preserve"> Months Ended </w:t>
              </w:r>
            </w:hyperlink>
            <w:hyperlink w:anchor="i48d83cab57d141b58bbd36c6474203bf_31">
              <w:r>
                <w:rPr>
                  <w:rStyle w:val="InternetLink"/>
                  <w:rFonts w:ascii="Times New Roman;serif" w:hAnsi="Times New Roman;serif"/>
                  <w:b w:val="false"/>
                  <w:color w:val="000080"/>
                  <w:sz w:val="20"/>
                  <w:u w:val="single"/>
                </w:rPr>
                <w:t>September</w:t>
              </w:r>
            </w:hyperlink>
            <w:hyperlink w:anchor="i48d83cab57d141b58bbd36c6474203bf_31">
              <w:r>
                <w:rPr>
                  <w:rStyle w:val="InternetLink"/>
                  <w:rFonts w:ascii="Times New Roman;serif" w:hAnsi="Times New Roman;serif"/>
                  <w:b w:val="false"/>
                  <w:color w:val="000080"/>
                  <w:sz w:val="20"/>
                  <w:u w:val="single"/>
                </w:rPr>
                <w:t xml:space="preserve"> 30, 2026 and 2025</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31">
              <w:r>
                <w:rPr>
                  <w:rStyle w:val="InternetLink"/>
                  <w:rFonts w:ascii="Times New Roman;serif" w:hAnsi="Times New Roman;serif"/>
                  <w:b w:val="false"/>
                  <w:color w:val="0000FF"/>
                  <w:sz w:val="20"/>
                  <w:u w:val="single"/>
                </w:rPr>
                <w:t>5</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34">
              <w:r>
                <w:rPr>
                  <w:rStyle w:val="InternetLink"/>
                  <w:rFonts w:ascii="Times New Roman;serif" w:hAnsi="Times New Roman;serif"/>
                  <w:b w:val="false"/>
                  <w:color w:val="0000FF"/>
                  <w:sz w:val="20"/>
                  <w:u w:val="single"/>
                </w:rPr>
                <w:t>Notes to Condensed Consolidated Financial Statements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34">
              <w:r>
                <w:rPr>
                  <w:rStyle w:val="InternetLink"/>
                  <w:rFonts w:ascii="Times New Roman;serif" w:hAnsi="Times New Roman;serif"/>
                  <w:b w:val="false"/>
                  <w:color w:val="0000FF"/>
                  <w:sz w:val="20"/>
                  <w:u w:val="single"/>
                </w:rPr>
                <w:t>7</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9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91">
              <w:r>
                <w:rPr>
                  <w:rStyle w:val="InternetLink"/>
                  <w:rFonts w:ascii="Times New Roman;serif" w:hAnsi="Times New Roman;serif"/>
                  <w:b w:val="false"/>
                  <w:color w:val="0000FF"/>
                  <w:sz w:val="20"/>
                  <w:u w:val="single"/>
                </w:rPr>
                <w:t>36</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12">
              <w:r>
                <w:rPr>
                  <w:rStyle w:val="InternetLink"/>
                  <w:rFonts w:ascii="Times New Roman;serif" w:hAnsi="Times New Roman;serif"/>
                  <w:b w:val="false"/>
                  <w:color w:val="0000FF"/>
                  <w:sz w:val="20"/>
                  <w:u w:val="single"/>
                </w:rPr>
                <w:t>Item 3. Quantitative and Qualitative Disclosures About Market Risk</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12">
              <w:r>
                <w:rPr>
                  <w:rStyle w:val="InternetLink"/>
                  <w:rFonts w:ascii="Times New Roman;serif" w:hAnsi="Times New Roman;serif"/>
                  <w:b w:val="false"/>
                  <w:color w:val="0000FF"/>
                  <w:sz w:val="20"/>
                  <w:u w:val="single"/>
                </w:rPr>
                <w:t>51</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15">
              <w:r>
                <w:rPr>
                  <w:rStyle w:val="InternetLink"/>
                  <w:rFonts w:ascii="Times New Roman;serif" w:hAnsi="Times New Roman;serif"/>
                  <w:b w:val="false"/>
                  <w:color w:val="0000FF"/>
                  <w:sz w:val="20"/>
                  <w:u w:val="single"/>
                </w:rPr>
                <w:t>Item 4. Controls and Procedures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15">
              <w:r>
                <w:rPr>
                  <w:rStyle w:val="InternetLink"/>
                  <w:rFonts w:ascii="Times New Roman;serif" w:hAnsi="Times New Roman;serif"/>
                  <w:b w:val="false"/>
                  <w:color w:val="0000FF"/>
                  <w:sz w:val="20"/>
                  <w:u w:val="single"/>
                </w:rPr>
                <w:t>52</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18">
              <w:r>
                <w:rPr>
                  <w:rStyle w:val="InternetLink"/>
                  <w:rFonts w:ascii="Times New Roman;serif" w:hAnsi="Times New Roman;serif"/>
                  <w:b w:val="false"/>
                  <w:color w:val="0000FF"/>
                  <w:sz w:val="20"/>
                  <w:u w:val="single"/>
                </w:rPr>
                <w:t>Part II. Other Information</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18">
              <w:r>
                <w:rPr>
                  <w:rStyle w:val="InternetLink"/>
                  <w:rFonts w:ascii="Times New Roman;serif" w:hAnsi="Times New Roman;serif"/>
                  <w:b w:val="false"/>
                  <w:color w:val="0000FF"/>
                  <w:sz w:val="20"/>
                  <w:u w:val="single"/>
                </w:rPr>
                <w:t>53</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21">
              <w:r>
                <w:rPr>
                  <w:rStyle w:val="InternetLink"/>
                  <w:rFonts w:ascii="Times New Roman;serif" w:hAnsi="Times New Roman;serif"/>
                  <w:b w:val="false"/>
                  <w:color w:val="0000FF"/>
                  <w:sz w:val="20"/>
                  <w:u w:val="single"/>
                </w:rPr>
                <w:t>Item 1. Legal Proceedings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21">
              <w:r>
                <w:rPr>
                  <w:rStyle w:val="InternetLink"/>
                  <w:rFonts w:ascii="Times New Roman;serif" w:hAnsi="Times New Roman;serif"/>
                  <w:b w:val="false"/>
                  <w:color w:val="0000FF"/>
                  <w:sz w:val="20"/>
                  <w:u w:val="single"/>
                </w:rPr>
                <w:t>53</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24">
              <w:r>
                <w:rPr>
                  <w:rStyle w:val="InternetLink"/>
                  <w:rFonts w:ascii="Times New Roman;serif" w:hAnsi="Times New Roman;serif"/>
                  <w:b w:val="false"/>
                  <w:color w:val="0000FF"/>
                  <w:sz w:val="20"/>
                  <w:u w:val="single"/>
                </w:rPr>
                <w:t>Item 1A. Risk Factors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24">
              <w:r>
                <w:rPr>
                  <w:rStyle w:val="InternetLink"/>
                  <w:rFonts w:ascii="Times New Roman;serif" w:hAnsi="Times New Roman;serif"/>
                  <w:b w:val="false"/>
                  <w:color w:val="0000FF"/>
                  <w:sz w:val="20"/>
                  <w:u w:val="single"/>
                </w:rPr>
                <w:t>53</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27">
              <w:r>
                <w:rPr>
                  <w:rStyle w:val="InternetLink"/>
                  <w:rFonts w:ascii="Times New Roman;serif" w:hAnsi="Times New Roman;serif"/>
                  <w:b w:val="false"/>
                  <w:color w:val="0000FF"/>
                  <w:sz w:val="20"/>
                  <w:u w:val="single"/>
                </w:rPr>
                <w:t>Item 5. Other Information</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27">
              <w:r>
                <w:rPr>
                  <w:rStyle w:val="InternetLink"/>
                  <w:rFonts w:ascii="Times New Roman;serif" w:hAnsi="Times New Roman;serif"/>
                  <w:b w:val="false"/>
                  <w:color w:val="0000FF"/>
                  <w:sz w:val="20"/>
                  <w:u w:val="single"/>
                </w:rPr>
                <w:t>84</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33">
              <w:r>
                <w:rPr>
                  <w:rStyle w:val="InternetLink"/>
                  <w:rFonts w:ascii="Times New Roman;serif" w:hAnsi="Times New Roman;serif"/>
                  <w:b w:val="false"/>
                  <w:color w:val="0000FF"/>
                  <w:sz w:val="20"/>
                  <w:u w:val="single"/>
                </w:rPr>
                <w:t>Item 6. Exhibits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33">
              <w:r>
                <w:rPr>
                  <w:rStyle w:val="InternetLink"/>
                  <w:rFonts w:ascii="Times New Roman;serif" w:hAnsi="Times New Roman;serif"/>
                  <w:b w:val="false"/>
                  <w:color w:val="0000FF"/>
                  <w:sz w:val="20"/>
                  <w:u w:val="single"/>
                </w:rPr>
                <w:t>85</w:t>
              </w:r>
            </w:hyperlink>
          </w:p>
        </w:tc>
      </w:tr>
      <w:t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pPr>
            <w:hyperlink w:anchor="i48d83cab57d141b58bbd36c6474203bf_136">
              <w:r>
                <w:rPr>
                  <w:rStyle w:val="InternetLink"/>
                  <w:rFonts w:ascii="Times New Roman;serif" w:hAnsi="Times New Roman;serif"/>
                  <w:b w:val="false"/>
                  <w:color w:val="0000FF"/>
                  <w:sz w:val="20"/>
                  <w:u w:val="single"/>
                </w:rPr>
                <w:t>Signatures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pPr>
            <w:hyperlink w:anchor="i48d83cab57d141b58bbd36c6474203bf_136">
              <w:r>
                <w:rPr>
                  <w:rStyle w:val="InternetLink"/>
                  <w:rFonts w:ascii="Times New Roman;serif" w:hAnsi="Times New Roman;serif"/>
                  <w:b w:val="false"/>
                  <w:color w:val="0000FF"/>
                  <w:sz w:val="20"/>
                  <w:u w:val="single"/>
                </w:rPr>
                <w:t>86</w:t>
              </w:r>
            </w:hyperlink>
          </w:p>
        </w:tc>
      </w:tr>
      <w:tr>
        <w:tc>
          <w:tcPr>
            <w:tcW w:w="9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2" w:type="dxa"/>
            <w:gridSpan w:val="3"/>
            <w:tcBorders/>
            <w:tcMar>
              <w:top w:w="0" w:type="dxa"/>
              <w:left w:w="0" w:type="dxa"/>
              <w:bottom w:w="0" w:type="dxa"/>
              <w:right w:w="0" w:type="dxa"/>
            </w:tcMar>
            <w:vAlign w:val="center"/>
          </w:tcPr>
          <w:p>
            <w:pPr>
              <w:pStyle w:val="TableContents"/>
              <w:bidi w:val="0"/>
              <w:spacing w:before="0" w:after="0"/>
              <w:jc w:val="left"/>
            </w:p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2" w:type="dxa"/>
            <w:gridSpan w:val="3"/>
            <w:tcBorders/>
            <w:tcMar>
              <w:top w:w="0" w:type="dxa"/>
              <w:left w:w="0" w:type="dxa"/>
              <w:bottom w:w="0" w:type="dxa"/>
              <w:right w:w="0" w:type="dxa"/>
            </w:tcMar>
            <w:vAlign w:val="center"/>
          </w:tcPr>
          <w:p>
            <w:pPr>
              <w:pStyle w:val="TableContents"/>
              <w:bidi w:val="0"/>
              <w:spacing w:before="0" w:after="0"/>
              <w:jc w:val="left"/>
            </w:p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2" w:type="dxa"/>
            <w:gridSpan w:val="3"/>
            <w:tcBorders/>
            <w:tcMar>
              <w:top w:w="0" w:type="dxa"/>
              <w:left w:w="0" w:type="dxa"/>
              <w:bottom w:w="0" w:type="dxa"/>
              <w:right w:w="0" w:type="dxa"/>
            </w:tcMar>
            <w:vAlign w:val="center"/>
          </w:tcPr>
          <w:p>
            <w:pPr>
              <w:pStyle w:val="TableContents"/>
              <w:bidi w:val="0"/>
              <w:spacing w:before="0" w:after="0"/>
              <w:jc w:val="left"/>
            </w:p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2" w:type="dxa"/>
            <w:gridSpan w:val="3"/>
            <w:tcBorders/>
            <w:tcMar>
              <w:top w:w="0" w:type="dxa"/>
              <w:left w:w="0" w:type="dxa"/>
              <w:bottom w:w="0" w:type="dxa"/>
              <w:right w:w="0" w:type="dxa"/>
            </w:tcMar>
            <w:vAlign w:val="center"/>
          </w:tcPr>
          <w:p>
            <w:pPr>
              <w:pStyle w:val="TableContents"/>
              <w:bidi w:val="0"/>
              <w:spacing w:before="0" w:after="0"/>
              <w:jc w:val="left"/>
            </w:p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2" w:type="dxa"/>
            <w:gridSpan w:val="3"/>
            <w:tcBorders/>
            <w:tcMar>
              <w:top w:w="0" w:type="dxa"/>
              <w:left w:w="0" w:type="dxa"/>
              <w:bottom w:w="0" w:type="dxa"/>
              <w:right w:w="0" w:type="dxa"/>
            </w:tcMar>
            <w:vAlign w:val="center"/>
          </w:tcPr>
          <w:p>
            <w:pPr>
              <w:pStyle w:val="TableContents"/>
              <w:bidi w:val="0"/>
              <w:spacing w:before="0" w:after="0"/>
              <w:jc w:val="left"/>
            </w:p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pPr>
      <w:r>
        <w:rPr>
          <w:rFonts w:ascii="Times New Roman;serif" w:hAnsi="Times New Roman;serif"/>
          <w:b w:val="false"/>
          <w:i/>
          <w:color w:val="000000"/>
          <w:sz w:val="20"/>
        </w:rPr>
        <w:t xml:space="preserve">When used in this report, unless otherwise indicated,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our,</w:t>
      </w:r>
      <w:r>
        <w:rPr>
          <w:color w:val="000000"/>
        </w:rPr>
        <w:t>” “</w:t>
      </w:r>
      <w:r>
        <w:rPr>
          <w:rFonts w:ascii="Times New Roman;serif" w:hAnsi="Times New Roman;serif"/>
          <w:b w:val="false"/>
          <w:i/>
          <w:color w:val="000000"/>
          <w:sz w:val="20"/>
        </w:rPr>
        <w:t>us,</w:t>
      </w:r>
      <w:r>
        <w:rPr>
          <w:color w:val="000000"/>
        </w:rPr>
        <w:t xml:space="preserve">” </w:t>
      </w:r>
      <w:r>
        <w:rPr>
          <w:rFonts w:ascii="Times New Roman;serif" w:hAnsi="Times New Roman;serif"/>
          <w:b w:val="false"/>
          <w:i/>
          <w:color w:val="000000"/>
          <w:sz w:val="20"/>
        </w:rPr>
        <w:t xml:space="preserve">the </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i/>
          <w:color w:val="000000"/>
          <w:sz w:val="20"/>
        </w:rPr>
        <w:t>BioCryst</w:t>
      </w:r>
      <w:r>
        <w:rPr>
          <w:color w:val="000000"/>
        </w:rPr>
        <w:t xml:space="preserve">” </w:t>
      </w:r>
      <w:r>
        <w:rPr>
          <w:rFonts w:ascii="Times New Roman;serif" w:hAnsi="Times New Roman;serif"/>
          <w:b w:val="false"/>
          <w:i/>
          <w:color w:val="000000"/>
          <w:sz w:val="20"/>
        </w:rPr>
        <w:t xml:space="preserve">refer to BioCryst Pharmaceuticals, Inc. and, where appropriate, its subsidiaries.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00" w:after="283"/>
        <w:ind w:left="0" w:right="0" w:firstLine="540"/>
        <w:jc w:val="left"/>
      </w:pPr>
      <w:r>
        <w:rPr>
          <w:rFonts w:ascii="Times New Roman;serif" w:hAnsi="Times New Roman;serif"/>
          <w:b w:val="false"/>
          <w:color w:val="000000"/>
          <w:sz w:val="20"/>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sections of this report, as well as any amendments we make to those sections in filings with the U.S. Securities and Exchange Commission (“SEC”). These forward-looking statements include, but are not limited to, statements about:</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 preclinical development, clinical development, commercialization, or post-marketing studies of our products and product candidates, including ORLADEYO® (berotralstat), navenibart, BCX17725, and our plans and anticipated timing regarding the same;</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acquisition, development, and commercialization of best-in-class and first-in-class medicines;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 timing and success of our commercialization of ORLADEYO in the United States and elsewhere and expectations regarding the commercial market for ORLADEYO, including the launch of the ORLADEYO oral pellet formulation;</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transition to our new sole source specialty pharmacy for ORLADEYO shipments to patients, including the effect of the new specialty pharmacy’s inventory levels on our quarterly product revenue;</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additional regulatory approvals, or milestones, royalties or profit from sales of our products by us or our partners;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 implementation of our business model, strategic plans for our business, products, product candidates and technology, including the implementation and estimated timing of completion of the Birmingham Closure Plan (as defined below), our expectations regarding our strategic shift to prioritize external innovation, and the anticipated role and potential benefits of our Scientific Advisory Board;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ability to establish and maintain collaborations or out-license rights to our products and product candidates;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plans, programs, progress and potential success of our collaborations and license agreements;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our and our subsidiary guarantors’ ability to satisfy obligations under and to comply with covenants set forth in connection with the Blackstone Loan Agreement (as defined below);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 scope of protection we are able to establish and maintain for intellectual property rights covering our products, product candidates, and technology;</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ability to operate our business without infringing the intellectual property rights of others;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estimates of our revenues, expenses, capital requirements, annual cash utilization, and our needs for additional capital or financing;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 timing or likelihood of regulatory filings, regulatory agreements, deferrals, approvals, and other decisions;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ability to manage our liquidity needs to fund our operations or repay our recourse debt obligations;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financial performance;</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statements and projections regarding financial goals, including profitability or positive cash flow;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competitive companies, technologies, and our industry; and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 Merger (as defined below) including, but not limited to, our expectations regarding the cost, benefits and expected synergies of the transaction.</w:t>
      </w:r>
    </w:p>
    <w:p>
      <w:pPr>
        <w:pStyle w:val="TextBody"/>
        <w:bidi w:val="0"/>
        <w:spacing w:lineRule="auto" w:line="288" w:before="200" w:after="283"/>
        <w:ind w:left="0" w:right="0" w:firstLine="540"/>
        <w:jc w:val="left"/>
      </w:pPr>
      <w:r>
        <w:rPr>
          <w:rFonts w:ascii="Times New Roman;serif" w:hAnsi="Times New Roman;serif"/>
          <w:b w:val="false"/>
          <w:color w:val="000000"/>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some of which are summarized in the “</w:t>
      </w:r>
      <w:r>
        <w:rPr>
          <w:rFonts w:ascii="Times New Roman;serif" w:hAnsi="Times New Roman;serif"/>
          <w:b w:val="false"/>
          <w:i/>
          <w:color w:val="000000"/>
          <w:sz w:val="20"/>
        </w:rPr>
        <w:t>Risk Factor Summary</w:t>
      </w:r>
      <w:r>
        <w:rPr>
          <w:color w:val="000000"/>
        </w:rPr>
        <w:t xml:space="preserve">” </w:t>
      </w:r>
      <w:r>
        <w:rPr>
          <w:rFonts w:ascii="Times New Roman;serif" w:hAnsi="Times New Roman;serif"/>
          <w:b w:val="false"/>
          <w:color w:val="000000"/>
          <w:sz w:val="20"/>
        </w:rPr>
        <w:t>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revise or correct any of these statements or to publicly announce the results of any such revisions to any forward-looking statements to reflect future events or developments, except as may be required by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200" w:after="283"/>
        <w:ind w:left="0" w:right="0" w:firstLine="540"/>
        <w:jc w:val="left"/>
      </w:pPr>
      <w:r>
        <w:rPr>
          <w:rFonts w:ascii="Times New Roman;serif" w:hAnsi="Times New Roman;serif"/>
          <w:b w:val="false"/>
          <w:color w:val="000000"/>
          <w:sz w:val="20"/>
        </w:rPr>
        <w:t>An investment in the Company involves risks. You should carefully read this entire report and consider the uncertainties and risks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We may not achieve sustained profitability, and we may need to raise additional capital in the future. If we are unable to raise capital or obtain financing if and when needed, we may need to adjust our operations.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 anticipated benefits and synergies of the Merger may not be realized, and risks associated with Astria’s (as defined below) business, including the navenibart program, could adversely affect our business and financial results.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success depends in part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We rely heavily upon third parties, including development partners, contractors, contract research organizations, and third-party suppliers, manufacturers, specialty pharmacies, and distributors, for many important stages of our product candidate development and in the commercialization of our products.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If the U.S. Food and Drug Administration or comparable foreign regulatory authorities approve generic versions or biosimilars of any of our products that receive marketing approval, the sales of our products could be adversely affected.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There can be no assurance that our or our partners’ commercialization efforts, methods, and strategies for our products or technologies will succeed, and our future revenue generation is uncertain.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We face intense competition, and if we are unable to compete effectively, the demand for our products may be reduced. In addition, developments by others may render our products, product candidates, or technologies obsolete or noncompetitive.</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If we fail to adequately protect or enforce our intellectual property rights, the value of those rights would diminish. Legal proceedings to protect or enforce our patents, the patents of our partners, or our other intellectual property rights could be expensive, time-consuming, and unsuccessful. If we fail to secure the rights to patents of others, this could adversely affect our business.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shd w:fill="FFFFFF" w:val="clear"/>
        </w:rPr>
        <w:t>The Blackstone Loan Agreement (as defined below) contains conditions and restrictions that limit our flexibility in operating our business.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International expansion of our business exposes us to business, legal, regulatory, political, operational, financial, and economic risks. For example, our actual or perceived failure to comply with non-U.S. governmental laws and regulations and other obligations related to privacy, data protection, and information security could harm our business.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If our facilities, or the facilities of our third-party vendors, incur damage or power is lost for a significant length of time, our operations will be disrupted, which will adversely affect our business.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Cyber incidents and related disruptions in our or our third-party vendors’ information technology systems, as well as challenges with properly managing or using artificial intelligence, could adversely affect our business.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ability to maintain global brand uniformity for ORLADEYO may be impacted by the sale of our European ORLADEYO business.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If we fail to retain our existing key personnel or advisors, or fail to attract and retain additional key personnel or advisors, the development of our product candidates, the commercialization of our products, and the related growth of our business may be delayed or stopped.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Future acquisitions, strategic investments, partnerships, alliances, or divestitures could fail to meet our expectations and/or adversely affect our operating results and financial condition.</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existing principal stockholders hold a substantial amount of our common stock and may be able to influence significant corporate decisions, which may conflict with the interests of other stockholders.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We are subject to legal proceedings, which could harm our reputation or result in other losses or unexpected expenditure of time and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amounts, Unaudited)</w:t>
      </w:r>
    </w:p>
    <w:tbl>
      <w:tblPr>
        <w:tblW w:w="10205" w:type="dxa"/>
        <w:jc w:val="left"/>
        <w:tblInd w:w="0" w:type="dxa"/>
        <w:tblLayout w:type="fixed"/>
        <w:tblCellMar>
          <w:top w:w="28" w:type="dxa"/>
          <w:left w:w="28" w:type="dxa"/>
          <w:bottom w:w="28" w:type="dxa"/>
          <w:right w:w="28" w:type="dxa"/>
        </w:tblCellMar>
      </w:tblPr>
      <w:tblGrid>
        <w:gridCol w:w="2694"/>
        <w:gridCol w:w="2247"/>
        <w:gridCol w:w="2244"/>
        <w:gridCol w:w="251"/>
        <w:gridCol w:w="945"/>
        <w:gridCol w:w="139"/>
        <w:gridCol w:w="109"/>
        <w:gridCol w:w="109"/>
        <w:gridCol w:w="109"/>
        <w:gridCol w:w="244"/>
        <w:gridCol w:w="918"/>
        <w:gridCol w:w="196"/>
      </w:tblGrid>
      <w:tr>
        <w:tc>
          <w:tcPr>
            <w:tcW w:w="269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96,971 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89,736 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278,027 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185,011 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121,786 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106,818 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531,151 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404,346 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inventory, net</w:t>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31,271 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23,990 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investments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 held for sale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591,070 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514,158 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Deficit</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126,413 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liability</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195,830 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196,066 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8,571 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377,938 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427,233 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 term loan</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395,609 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988,454 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633,311 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shares authorized - 5,000; no shares issued and outstanding at September 30, 2026 and December 31, 2025</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shares authorized - 450,000; shares issued and outstanding – 256,118 at September 30, 2026 and 213,060 at December 31, 2025</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1,712,342 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1,384,857 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other comprehensive (loss) income </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(2,111,680)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(1,506,179)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(397,384)</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(119,153)</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deficit</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591,070 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514,158 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 Unaudited)</w:t>
      </w:r>
    </w:p>
    <w:tbl>
      <w:tblPr>
        <w:tblW w:w="10205" w:type="dxa"/>
        <w:jc w:val="left"/>
        <w:tblInd w:w="0" w:type="dxa"/>
        <w:tblLayout w:type="fixed"/>
        <w:tblCellMar>
          <w:top w:w="28" w:type="dxa"/>
          <w:left w:w="28" w:type="dxa"/>
          <w:bottom w:w="28" w:type="dxa"/>
          <w:right w:w="28" w:type="dxa"/>
        </w:tblCellMar>
      </w:tblPr>
      <w:tblGrid>
        <w:gridCol w:w="1551"/>
        <w:gridCol w:w="1222"/>
        <w:gridCol w:w="1229"/>
        <w:gridCol w:w="237"/>
        <w:gridCol w:w="932"/>
        <w:gridCol w:w="122"/>
        <w:gridCol w:w="122"/>
        <w:gridCol w:w="122"/>
        <w:gridCol w:w="122"/>
        <w:gridCol w:w="237"/>
        <w:gridCol w:w="932"/>
        <w:gridCol w:w="122"/>
        <w:gridCol w:w="109"/>
        <w:gridCol w:w="109"/>
        <w:gridCol w:w="109"/>
        <w:gridCol w:w="226"/>
        <w:gridCol w:w="948"/>
        <w:gridCol w:w="117"/>
        <w:gridCol w:w="117"/>
        <w:gridCol w:w="117"/>
        <w:gridCol w:w="117"/>
        <w:gridCol w:w="226"/>
        <w:gridCol w:w="887"/>
        <w:gridCol w:w="173"/>
      </w:tblGrid>
      <w:tr>
        <w:tc>
          <w:tcPr>
            <w:tcW w:w="155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172,295 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481,209 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180,292 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159,395 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554,955 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468,282 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129,804 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1,104,758 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387,678 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53,330 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29,591 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(549,803)</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80,604 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net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(14,745)</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(52,946)</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(61,230)</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(602,749)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37,916 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(605,501)</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 for sale investments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comprehensive income (loss)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(606,146)</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1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255,634 </w:t>
            </w:r>
          </w:p>
        </w:tc>
        <w:tc>
          <w:tcPr>
            <w:tcW w:w="12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210,176 </w:t>
            </w:r>
          </w:p>
        </w:tc>
        <w:tc>
          <w:tcPr>
            <w:tcW w:w="12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250,840 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209,531 </w:t>
            </w:r>
          </w:p>
        </w:tc>
        <w:tc>
          <w:tcPr>
            <w:tcW w:w="17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7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16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267,621 </w:t>
            </w:r>
          </w:p>
        </w:tc>
        <w:tc>
          <w:tcPr>
            <w:tcW w:w="12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219,885 </w:t>
            </w:r>
          </w:p>
        </w:tc>
        <w:tc>
          <w:tcPr>
            <w:tcW w:w="12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250,840 </w:t>
            </w:r>
          </w:p>
        </w:tc>
        <w:tc>
          <w:tcPr>
            <w:tcW w:w="1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218,349 </w:t>
            </w:r>
          </w:p>
        </w:tc>
        <w:tc>
          <w:tcPr>
            <w:tcW w:w="17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313" w:type="dxa"/>
        <w:jc w:val="center"/>
        <w:tblInd w:w="0" w:type="dxa"/>
        <w:tblLayout w:type="fixed"/>
        <w:tblCellMar>
          <w:top w:w="28" w:type="dxa"/>
          <w:left w:w="28" w:type="dxa"/>
          <w:bottom w:w="28" w:type="dxa"/>
          <w:right w:w="28" w:type="dxa"/>
        </w:tblCellMar>
      </w:tblPr>
      <w:tblGrid>
        <w:gridCol w:w="2342"/>
        <w:gridCol w:w="2054"/>
        <w:gridCol w:w="2069"/>
        <w:gridCol w:w="229"/>
        <w:gridCol w:w="947"/>
        <w:gridCol w:w="127"/>
        <w:gridCol w:w="127"/>
        <w:gridCol w:w="127"/>
        <w:gridCol w:w="127"/>
        <w:gridCol w:w="229"/>
        <w:gridCol w:w="755"/>
        <w:gridCol w:w="180"/>
      </w:tblGrid>
      <w:tr>
        <w:tc>
          <w:tcPr>
            <w:tcW w:w="234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(loss) income </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(605,501)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provided by operating activities: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in-process research and development expense</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697,761 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assembled workforce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obsolescence</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44,963 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adjustment on share-based liability</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Pharmakon paid-in-kind interest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on royalty financing obligations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38,669 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on term loans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on investments, net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non-financial asset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trade receivables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Increase in inventory</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(increase) in prepaid expenses and other assets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royalty financing obligations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(45,647)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increase in accounts payable and accrued expenses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(45,674)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deferred revenue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1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75,534 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55,409 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and equipment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disposals of property and equipment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(275,844)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(136,737)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investments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308,431 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Astria Therapeutics, Inc., net of cash acquired</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(489,480)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non-financial asset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investing activities</w:t>
            </w:r>
          </w:p>
        </w:tc>
        <w:tc>
          <w:tcPr>
            <w:tcW w:w="11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(457,671)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69,794 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common stock issued under stock-based compensation plans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stock-based awards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(6,254)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to directors in lieu of cash retainer</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Term Loans under the Blackstone Loan Agreement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 on the Term Loans under the Blackstone Loan Agreement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(4,952)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Pharmakon term loan principal</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(115,847)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premium and fees on Pharmakon term loan</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royalty financing obligations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(28,517)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90"/>
        <w:gridCol w:w="2464"/>
        <w:gridCol w:w="2486"/>
        <w:gridCol w:w="196"/>
        <w:gridCol w:w="736"/>
        <w:gridCol w:w="109"/>
        <w:gridCol w:w="109"/>
        <w:gridCol w:w="109"/>
        <w:gridCol w:w="109"/>
        <w:gridCol w:w="196"/>
        <w:gridCol w:w="646"/>
        <w:gridCol w:w="155"/>
      </w:tblGrid>
      <w:tr>
        <w:tc>
          <w:tcPr>
            <w:tcW w:w="289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(131,971)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(decrease) in cash, cash equivalents and restricted cash, including cash classified within current assets held for sale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(5,426)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increase in cash and cash equivalents classified within current assets held for sale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(20,266)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86,057 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86,057 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the acquisition of Astria Therapeutics, Inc.</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Capitalized software costs included in accrued expenses and 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on stock-based awards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BIOCRYST PHARMACEUTICALS, INC. </w:t>
      </w:r>
    </w:p>
    <w:p>
      <w:pPr>
        <w:pStyle w:val="TextBody"/>
        <w:bidi w:val="0"/>
        <w:spacing w:lineRule="auto" w:line="288" w:before="0" w:after="0"/>
        <w:jc w:val="cente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913"/>
        <w:gridCol w:w="538"/>
        <w:gridCol w:w="540"/>
        <w:gridCol w:w="375"/>
        <w:gridCol w:w="376"/>
        <w:gridCol w:w="196"/>
        <w:gridCol w:w="109"/>
        <w:gridCol w:w="109"/>
        <w:gridCol w:w="109"/>
        <w:gridCol w:w="196"/>
        <w:gridCol w:w="571"/>
        <w:gridCol w:w="109"/>
        <w:gridCol w:w="109"/>
        <w:gridCol w:w="109"/>
        <w:gridCol w:w="109"/>
        <w:gridCol w:w="196"/>
        <w:gridCol w:w="886"/>
        <w:gridCol w:w="109"/>
        <w:gridCol w:w="109"/>
        <w:gridCol w:w="109"/>
        <w:gridCol w:w="109"/>
        <w:gridCol w:w="321"/>
        <w:gridCol w:w="715"/>
        <w:gridCol w:w="180"/>
        <w:gridCol w:w="109"/>
        <w:gridCol w:w="109"/>
        <w:gridCol w:w="109"/>
        <w:gridCol w:w="196"/>
        <w:gridCol w:w="897"/>
        <w:gridCol w:w="109"/>
        <w:gridCol w:w="109"/>
        <w:gridCol w:w="109"/>
        <w:gridCol w:w="109"/>
        <w:gridCol w:w="196"/>
        <w:gridCol w:w="794"/>
        <w:gridCol w:w="157"/>
      </w:tblGrid>
      <w:tr>
        <w:tc>
          <w:tcPr>
            <w:tcW w:w="9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r>
      <w:t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cMar>
              <w:top w:w="0" w:type="dxa"/>
              <w:left w:w="0" w:type="dxa"/>
              <w:bottom w:w="0" w:type="dxa"/>
              <w:right w:w="0" w:type="dxa"/>
            </w:tcMar>
            <w:vAlign w:val="center"/>
          </w:tcPr>
          <w:p>
            <w:pPr>
              <w:pStyle w:val="Normal"/>
              <w:bidi w:val="0"/>
              <w:jc w:val="left"/>
            </w:p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213,060</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1,384,857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38</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(1,506,179)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(119,153)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(721,812)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(721,812)</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sales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directors in lieu of cash retainer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Remeasurement of share-based liability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share-based liability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the acquisition of Astria Therapeutics, Inc.</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254,014</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2,540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1,671,976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(368)</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(2,227,991)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(553,843)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78,395 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78,395 </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 for 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directors in lieu of cash retainer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Remeasurement of share-based liability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share-based liability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255,265</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2,553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1,693,282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(528)</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(2,149,596)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(454,289)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37,916 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37,916 </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 for 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sales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directors in lieu of cash retainer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Remeasurement of share-based liability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2026</w:t>
            </w:r>
          </w:p>
        </w:tc>
        <w:tc>
          <w:tcPr>
            <w:tcW w:w="75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256,118</w:t>
            </w:r>
            <w:r>
              <w:rPr>
                <w:color w:val="000000"/>
              </w:rPr>
              <w:t> </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2,561</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1,712,342</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(607)</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(2,111,680)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(397,384)</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pPr>
      <w:r/>
    </w:p>
    <w:p>
      <w:pPr>
        <w:pStyle w:val="TextBody"/>
        <w:bidi w:val="0"/>
        <w:spacing w:before="200" w:after="283"/>
        <w:jc w:val="center"/>
      </w:pPr>
      <w:r/>
    </w:p>
    <w:p>
      <w:pPr>
        <w:pStyle w:val="TextBody"/>
        <w:bidi w:val="0"/>
        <w:spacing w:before="200" w:after="283"/>
        <w:jc w:val="center"/>
      </w:p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BIOCRYST PHARMACEUTICALS, INC. </w:t>
      </w:r>
    </w:p>
    <w:p>
      <w:pPr>
        <w:pStyle w:val="TextBody"/>
        <w:bidi w:val="0"/>
        <w:spacing w:lineRule="auto" w:line="288" w:before="0" w:after="0"/>
        <w:jc w:val="cente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874"/>
        <w:gridCol w:w="555"/>
        <w:gridCol w:w="557"/>
        <w:gridCol w:w="375"/>
        <w:gridCol w:w="376"/>
        <w:gridCol w:w="196"/>
        <w:gridCol w:w="109"/>
        <w:gridCol w:w="109"/>
        <w:gridCol w:w="109"/>
        <w:gridCol w:w="196"/>
        <w:gridCol w:w="571"/>
        <w:gridCol w:w="109"/>
        <w:gridCol w:w="109"/>
        <w:gridCol w:w="109"/>
        <w:gridCol w:w="109"/>
        <w:gridCol w:w="196"/>
        <w:gridCol w:w="886"/>
        <w:gridCol w:w="109"/>
        <w:gridCol w:w="109"/>
        <w:gridCol w:w="109"/>
        <w:gridCol w:w="109"/>
        <w:gridCol w:w="272"/>
        <w:gridCol w:w="792"/>
        <w:gridCol w:w="152"/>
        <w:gridCol w:w="109"/>
        <w:gridCol w:w="109"/>
        <w:gridCol w:w="109"/>
        <w:gridCol w:w="196"/>
        <w:gridCol w:w="901"/>
        <w:gridCol w:w="109"/>
        <w:gridCol w:w="109"/>
        <w:gridCol w:w="109"/>
        <w:gridCol w:w="109"/>
        <w:gridCol w:w="196"/>
        <w:gridCol w:w="796"/>
        <w:gridCol w:w="156"/>
      </w:tblGrid>
      <w:tr>
        <w:tc>
          <w:tcPr>
            <w:tcW w:w="87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r>
      <w:t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p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208,543</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2,085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1,291,100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921</w:t>
            </w: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(1,770,040)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(475,934)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 for vesting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sales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directors in lieu of cash retainer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209,208</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2,092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1,314,857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1,132</w:t>
            </w: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(1,770,008)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(451,927)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directors in lieu of cash retainer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209,905</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2,099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1,339,584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1,646</w:t>
            </w: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(1,764,923)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(421,594)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12,899 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net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sales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directors in lieu of cash retainer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210,522</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2,105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1,360,890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1,140</w:t>
            </w:r>
            <w:r>
              <w:rPr>
                <w:color w:val="000000"/>
              </w:rPr>
              <w:t>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(1,752,024)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(387,889)</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0" w:after="283"/>
        <w:jc w:val="left"/>
      </w:pPr>
      <w:r>
        <w:rPr>
          <w:rFonts w:ascii="Times New Roman;serif" w:hAnsi="Times New Roman;serif"/>
          <w:b/>
          <w:color w:val="000000"/>
          <w:sz w:val="20"/>
        </w:rPr>
        <w:t xml:space="preserve">Note 1 </w:t>
      </w:r>
      <w:r>
        <w:rPr>
          <w:color w:val="000000"/>
        </w:rPr>
        <w:t xml:space="preserve">— </w:t>
      </w:r>
      <w:r>
        <w:rPr>
          <w:rFonts w:ascii="Times New Roman;serif" w:hAnsi="Times New Roman;serif"/>
          <w:b/>
          <w:color w:val="000000"/>
          <w:sz w:val="20"/>
        </w:rPr>
        <w:t>Significant Accounting Policies and Concentrations of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BioCryst Pharmaceuticals, Inc. (the “Company”) is a global biotechnology company focused on developing and commercializing medicines for hereditary angioedema (“HAE”) and other rare diseases, driven by the Company’s deep commitment to improving the lives of people living with these conditions. The Company has built an established commercial infrastructure supporting ORLADEYO®, an oral, once-daily therapy discovered and developed internally for the prevention of HAE attacks, and is advancing a pipeline of potential first-in-class or best-in-class oral small-molecule and injectable protein therapeutics for a range of rare diseases. The Company was founded in 1986 and incorporated in Delaware in 1991, and its headquarters is located in Durham, North Carolina.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marketed products include ORLADEYO® for the prevention of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other parties. In addition to its approval in the United States, peramivir injection has received regulatory approvals in Canada (RAPIVAB), Australia (RAPIVAB), Japan (RAPIACTA), Taiwan (RAPIACTA) and Korea (PERAMIFLU).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Company’s expectations for revenue and operating expenses, the Company believes its financial resources available at September 30, 2026 will be sufficient to fund its operations for at least the next 12 months.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success of its business development efforts; the timing, scope and magnitude of its research and development and commercial expenses; and key regulatory and operational developments.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have been prepared in accordance with U.S. generally accepted accounting principles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 Certain prior year amounts have been reclassified to conform to the current year presentation. </w:t>
      </w:r>
    </w:p>
    <w:p>
      <w:pPr>
        <w:pStyle w:val="TextBody"/>
        <w:bidi w:val="0"/>
        <w:spacing w:lineRule="auto" w:line="288" w:before="200" w:after="283"/>
        <w:ind w:left="0" w:right="0" w:firstLine="540"/>
        <w:jc w:val="left"/>
      </w:pPr>
      <w:r>
        <w:rPr>
          <w:rFonts w:ascii="Times New Roman;serif" w:hAnsi="Times New Roman;serif"/>
          <w:b w:val="false"/>
          <w:color w:val="000000"/>
          <w:sz w:val="20"/>
        </w:rPr>
        <w:t>The condensed consolidated financial statements include the accounts of the Company and its wholly owned subsidiaries, including Astria Therapeutics, Inc., which was acquired by the Company on January 23, 2026 (see “</w:t>
      </w:r>
      <w:r>
        <w:rPr>
          <w:rFonts w:ascii="Times New Roman;serif" w:hAnsi="Times New Roman;serif"/>
          <w:b w:val="false"/>
          <w:i/>
          <w:color w:val="000000"/>
          <w:sz w:val="20"/>
        </w:rPr>
        <w:t>Note 2—Acquisition of Astria Therapeutics, Inc.</w:t>
      </w:r>
      <w:r>
        <w:rPr>
          <w:color w:val="000000"/>
        </w:rPr>
        <w:t>”</w:t>
      </w:r>
      <w:r>
        <w:rPr>
          <w:rFonts w:ascii="Times New Roman;serif" w:hAnsi="Times New Roman;serif"/>
          <w:b w:val="false"/>
          <w:color w:val="000000"/>
          <w:sz w:val="20"/>
        </w:rPr>
        <w:t>). All intercompany transactions and balances among the consolidated entities have been eliminated from the condensed consolidated financial statements. The Company operates and manages its business as one reportable and operating segment (see “</w:t>
      </w:r>
      <w:r>
        <w:rPr>
          <w:rFonts w:ascii="Times New Roman;serif" w:hAnsi="Times New Roman;serif"/>
          <w:b w:val="false"/>
          <w:i/>
          <w:color w:val="000000"/>
          <w:sz w:val="20"/>
        </w:rPr>
        <w:t>Note 14—Segment Information</w:t>
      </w:r>
      <w:r>
        <w:rPr>
          <w:color w:val="000000"/>
        </w:rPr>
        <w:t>”</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audited consolidated financial statements for the fiscal year ended December 31, 2025 and the notes thereto included in the Company’s 2025 Annual Report on Form 10-K as filed with the Securities and Exchange Commission (the “SEC”) on February 26, 2026. Interim operating results are not necessarily indicative of operating results for the full fiscal year. The condensed consolidated balance sheet as of December 31, 2025 was derived from the audited consolidated financial statements included in the Company’s most recent Annual Report on Form 10-K.</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Sale of European ORLADEYO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pPr>
      <w:r>
        <w:rPr>
          <w:rFonts w:ascii="Times New Roman;serif" w:hAnsi="Times New Roman;serif"/>
          <w:b w:val="false"/>
          <w:color w:val="000000"/>
          <w:sz w:val="20"/>
        </w:rPr>
        <w:t>On June 27, 2025, the Company entered into a stock purchase agreement (the “Stock Purchase Agreement”) with BioCryst Ireland Limited (“BioCryst Ireland”) and Neopharmed Gentili S.p.A., (“Neopharmed”). On October 1, 2025, the Company sold to Neopharmed all of its equity interests in BioCryst Ireland, which, together with its subsidiaries, holds certain assets, rights, and employees related to the European ORLADEYO business. The Company and BioCryst Ireland also amended and restated their existing intellectual property licence agreement, pursuant to which the Company is entitled to receive quarterly royalty payments from BioCryst Ireland equal to amounts owed under its Royalty Purchase Agreements with RPI and OMERS for the sale of ORLADEYO products in the Territory, as defined in the Stock Purchase Agreement (see “</w:t>
      </w:r>
      <w:r>
        <w:rPr>
          <w:rFonts w:ascii="Times New Roman;serif" w:hAnsi="Times New Roman;serif"/>
          <w:b w:val="false"/>
          <w:i/>
          <w:color w:val="000000"/>
          <w:sz w:val="20"/>
        </w:rPr>
        <w:t xml:space="preserve">Note 7—Royalty Financing Obligations”). </w:t>
      </w:r>
      <w:r>
        <w:rPr>
          <w:rFonts w:ascii="Times New Roman;serif" w:hAnsi="Times New Roman;serif"/>
          <w:b w:val="false"/>
          <w:color w:val="000000"/>
          <w:sz w:val="20"/>
        </w:rPr>
        <w:t>The condensed consolidated financial statements for the three and nine months ended September 30, 2025 include the accounts of BioCryst Ireland, which was a wholly owned subsidiary of the Company prior to October 1, 2025. As of September 30, 2025, the assets and liabilities of BioCryst Ireland were classified as a disposal group held for sale in the Company’s condensed consolidated balance sheet.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reported amounts of assets, liabilities, revenues and expenses, and related disclosure of contingent assets and liabilities. Actual results could differ from those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200" w:after="283"/>
        <w:ind w:left="0" w:right="0" w:firstLine="540"/>
        <w:jc w:val="left"/>
      </w:pPr>
      <w:r>
        <w:rPr>
          <w:rFonts w:ascii="Times New Roman;serif" w:hAnsi="Times New Roman;serif"/>
          <w:b w:val="false"/>
          <w:color w:val="000000"/>
          <w:sz w:val="20"/>
        </w:rPr>
        <w:t xml:space="preserve">The Company classifies its long-lived assets to be sold as held for sale when the six criteria in Accounting Standards Codification (“ASC”) Topic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(“Topic 360”) are met. This generally occurs when an agreement to sell exists, or when management has committed to a plan to sell the assets within one year. Assets and liabilities to be disposed of together as a group in a single transaction (a “disposal group”) are classified as held for sale if their carrying amounts are principally expected to be recovered through a sale transaction rather than through continuing use.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long-lived assets included in a disposal group are reported at the lower of their carrying value or fair value less cost to sell, beginning in the period the held for sale criteria are met. Prior to disposal, losses are recognized for any initial or subsequent write-down to fair value less cost to sell. Any gains or losses not previously recognized that result from the sale of a disposal group shall be recognized at the date of sale. Upon designation as an asset held for sale, the Company stops recording depreciation and amortization expense on long-lived assets. The Company assesses the fair value of a long-lived asset less any costs to sell at each reporting period and until the asset is no longer classified as held for sale.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540"/>
        <w:jc w:val="left"/>
      </w:pPr>
      <w:r>
        <w:rPr>
          <w:rFonts w:ascii="Times New Roman;serif" w:hAnsi="Times New Roman;serif"/>
          <w:b w:val="false"/>
          <w:color w:val="000000"/>
          <w:sz w:val="20"/>
        </w:rPr>
        <w:t xml:space="preserve">Pursuant to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(“Topic 606”), the Company recognizes revenue when control of promised goods or services transfers to customers in an amount that reflects the consideration to which the entity expects to be entitled in exchange for those goods or services. The Company applies the five-step model under Topic 606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sources of product sales are sales of ORLADEYO and peramivir (RAPIVAB/RAPIACTA/PERAMIFLU). The Company generally ships ORLADEYO directly to patients through a single specialty pharmacy in the United States and through specialty distributors outside of the United States, which are considered its customers. The Company generally sells peramivir to its licensing partners, hospitals, and, in 2025, to the U.S. Department of Health and Human Services.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ORLADEYO in the United States, the Company recognizes revenue when control of the product transfers to its specialty pharmacy customer, which obtains title to and maintains inventory of the product prior to dispensing it to patients. For peramivir and ORLADEYO outside of the United States, the Company recognizes revenue when the customer obtains control of the product, which generally occurs upon delivery.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Revenues from product sales are recorded at the net selling price (transaction price), which includes estimates of variable consideration, including government and managed care rebates, chargebacks, co-payment and patient assistance, quick starts, and product returns. Variable consideration is estimated using the expected value method and is included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revenues only to the extent that it is probable that a significant reversal of cumulative revenue recognized will not occur. Estimates are reassessed each reporting period, and adjustments are recognized in the period identified.</w:t>
      </w:r>
    </w:p>
    <w:p>
      <w:pPr>
        <w:pStyle w:val="TextBody"/>
        <w:bidi w:val="0"/>
        <w:spacing w:lineRule="auto" w:line="288" w:before="200" w:after="283"/>
        <w:ind w:left="0" w:right="0" w:firstLine="540"/>
        <w:jc w:val="left"/>
      </w:pPr>
      <w:r>
        <w:rPr>
          <w:rFonts w:ascii="Times New Roman;serif" w:hAnsi="Times New Roman;serif"/>
          <w:b w:val="false"/>
          <w:i/>
          <w:color w:val="000000"/>
          <w:sz w:val="20"/>
        </w:rPr>
        <w:t>Government and Managed Care Rebates</w:t>
      </w:r>
      <w:r>
        <w:rPr>
          <w:rFonts w:ascii="Times New Roman;serif" w:hAnsi="Times New Roman;serif"/>
          <w:b w:val="false"/>
          <w:color w:val="000000"/>
          <w:sz w:val="20"/>
        </w:rPr>
        <w:t>. The Company estimates rebates payable to third-party payors, including managed care organizations and government programs, and records such amounts as reductions of gross product revenues at the time revenue is recognized, with corresponding liabilities recorded in accrued expenses. Rebate estimates are based on contractual terms, applicable program requirements, and product distribution information obtained from the Company's specialty pharmacy regarding payor mix.</w:t>
      </w:r>
    </w:p>
    <w:p>
      <w:pPr>
        <w:pStyle w:val="TextBody"/>
        <w:bidi w:val="0"/>
        <w:spacing w:lineRule="auto" w:line="288" w:before="200" w:after="283"/>
        <w:ind w:left="0" w:right="0" w:firstLine="540"/>
        <w:jc w:val="left"/>
      </w:pPr>
      <w:r>
        <w:rPr>
          <w:rFonts w:ascii="Times New Roman;serif" w:hAnsi="Times New Roman;serif"/>
          <w:b w:val="false"/>
          <w:i/>
          <w:color w:val="000000"/>
          <w:sz w:val="20"/>
        </w:rPr>
        <w:t>Chargebacks</w:t>
      </w:r>
      <w:r>
        <w:rPr>
          <w:rFonts w:ascii="Times New Roman;serif" w:hAnsi="Times New Roman;serif"/>
          <w:b w:val="false"/>
          <w:color w:val="000000"/>
          <w:sz w:val="20"/>
        </w:rPr>
        <w:t>. Chargebacks represent the Company's estimated obligations arising from contractual commitments to provide products to government agencies at prices lower than those charged to the Company's specialty pharmacy. The specialty pharmacy submits chargeback claims for the difference between the price paid to the Company and the applicable government-mandated price. The Company estimates chargebacks and records such amounts as reductions of gross product revenues and trade receivables at the time revenue is recognized.</w:t>
      </w:r>
    </w:p>
    <w:p>
      <w:pPr>
        <w:pStyle w:val="TextBody"/>
        <w:bidi w:val="0"/>
        <w:spacing w:lineRule="auto" w:line="288" w:before="200" w:after="283"/>
        <w:ind w:left="0" w:right="0" w:firstLine="540"/>
        <w:jc w:val="left"/>
      </w:pPr>
      <w:r>
        <w:rPr>
          <w:rFonts w:ascii="Times New Roman;serif" w:hAnsi="Times New Roman;serif"/>
          <w:b w:val="false"/>
          <w:i/>
          <w:color w:val="000000"/>
          <w:sz w:val="20"/>
        </w:rPr>
        <w:t>Co-payment assistance programs</w:t>
      </w:r>
      <w:r>
        <w:rPr>
          <w:rFonts w:ascii="Times New Roman;serif" w:hAnsi="Times New Roman;serif"/>
          <w:b w:val="false"/>
          <w:color w:val="000000"/>
          <w:sz w:val="20"/>
        </w:rPr>
        <w:t xml:space="preserve">. Patients who have commercial insurance and meet certain eligibility requirements may receive co-payment assistance. The Company estimates co-payment assistance amounts based on program terms and utilization and records such amounts as reductions of product revenue in the same period in which the related revenue is recognized, with a corresponding reduction to the prepaid co-payment assistance asset. </w:t>
      </w:r>
    </w:p>
    <w:p>
      <w:pPr>
        <w:pStyle w:val="TextBody"/>
        <w:bidi w:val="0"/>
        <w:spacing w:lineRule="auto" w:line="288" w:before="200" w:after="283"/>
        <w:ind w:left="0" w:right="0" w:firstLine="540"/>
        <w:jc w:val="left"/>
      </w:pPr>
      <w:r>
        <w:rPr>
          <w:rFonts w:ascii="Times New Roman;serif" w:hAnsi="Times New Roman;serif"/>
          <w:b w:val="false"/>
          <w:i/>
          <w:color w:val="000000"/>
          <w:sz w:val="20"/>
        </w:rPr>
        <w:t xml:space="preserve">Patient assistance program. </w:t>
      </w:r>
      <w:r>
        <w:rPr>
          <w:rFonts w:ascii="Times New Roman;serif" w:hAnsi="Times New Roman;serif"/>
          <w:b w:val="false"/>
          <w:color w:val="000000"/>
          <w:sz w:val="20"/>
        </w:rPr>
        <w:t>The Company offers a patient assistance program that provides free drug product to eligible patients who lack adequate prescription drug coverage or cannot afford treatment. Based on utilization reports provided by the specialty pharmacy, the Company records a reduction of gross product revenue for the full value of product dispensed under the program.</w:t>
      </w:r>
    </w:p>
    <w:p>
      <w:pPr>
        <w:pStyle w:val="TextBody"/>
        <w:bidi w:val="0"/>
        <w:spacing w:lineRule="auto" w:line="288" w:before="200" w:after="283"/>
        <w:ind w:left="0" w:right="0" w:firstLine="540"/>
        <w:jc w:val="left"/>
      </w:pPr>
      <w:r>
        <w:rPr>
          <w:rFonts w:ascii="Times New Roman;serif" w:hAnsi="Times New Roman;serif"/>
          <w:b w:val="false"/>
          <w:i/>
          <w:color w:val="000000"/>
          <w:sz w:val="20"/>
        </w:rPr>
        <w:t>Quick start program</w:t>
      </w:r>
      <w:r>
        <w:rPr>
          <w:rFonts w:ascii="Times New Roman;serif" w:hAnsi="Times New Roman;serif"/>
          <w:b w:val="false"/>
          <w:color w:val="000000"/>
          <w:sz w:val="20"/>
        </w:rPr>
        <w:t>. The Company offers a quick start program that provides free drug product to commercial customers while insurance approval, prior authorization, or reimbursement review is pending. The program is available for up to 90 days while the patient secures coverage. Based on utilization reports provided by the specialty pharmacy, the Company records a reduction of gross product revenue for the full value of product dispensed under the program.</w:t>
      </w:r>
    </w:p>
    <w:p>
      <w:pPr>
        <w:pStyle w:val="TextBody"/>
        <w:bidi w:val="0"/>
        <w:spacing w:lineRule="auto" w:line="288" w:before="200" w:after="283"/>
        <w:ind w:left="0" w:right="0" w:firstLine="540"/>
        <w:jc w:val="left"/>
      </w:pPr>
      <w:r>
        <w:rPr>
          <w:rFonts w:ascii="Times New Roman;serif" w:hAnsi="Times New Roman;serif"/>
          <w:b w:val="false"/>
          <w:i/>
          <w:color w:val="000000"/>
          <w:sz w:val="20"/>
        </w:rPr>
        <w:t>Product returns</w:t>
      </w:r>
      <w:r>
        <w:rPr>
          <w:rFonts w:ascii="Times New Roman;serif" w:hAnsi="Times New Roman;serif"/>
          <w:b w:val="false"/>
          <w:color w:val="000000"/>
          <w:sz w:val="20"/>
        </w:rPr>
        <w:t>. The Company generally does not accept returns from end customers and will accept returns from its specialty pharmacy only in limited circumstances including product defects, recalls, shipment damage, and certain other specified situations. The Company estimates expected returns and records a reserve at the time product revenue is recognized. Based on historical experience and the limited nature of allowable returns, the reserve has not been material.</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License and Collaborative and Other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collaboration and license agreements with a number of third parties. The terms of the agreements typically include one or more of the following: upfront license fees; development, regulatory and sales-based milestone payments; and royalties on net sales of licensed products. For agreements with multiple performance obligations, revenue is allocated to each performance obligation based on its relative standalone selling price. The Company uses judgment to identify performance obligations and determine whether variable consideration should be included in the transaction price.</w:t>
      </w:r>
    </w:p>
    <w:p>
      <w:pPr>
        <w:pStyle w:val="TextBody"/>
        <w:bidi w:val="0"/>
        <w:spacing w:lineRule="auto" w:line="288" w:before="200" w:after="283"/>
        <w:ind w:left="0" w:right="0" w:firstLine="540"/>
        <w:jc w:val="left"/>
      </w:pPr>
      <w:r>
        <w:rPr>
          <w:rFonts w:ascii="Times New Roman;serif" w:hAnsi="Times New Roman;serif"/>
          <w:b w:val="false"/>
          <w:i/>
          <w:color w:val="000000"/>
          <w:sz w:val="20"/>
        </w:rPr>
        <w:t xml:space="preserve">Upfront license fees. </w:t>
      </w:r>
      <w:r>
        <w:rPr>
          <w:rFonts w:ascii="Times New Roman;serif" w:hAnsi="Times New Roman;serif"/>
          <w:b w:val="false"/>
          <w:color w:val="000000"/>
          <w:sz w:val="20"/>
        </w:rPr>
        <w:t>Arrangements that include upfront payments may require deferral of revenue recognition to a future period until obligations under such arrangements are fulfilled. If the license to the Company’s intellectual property is determined to be distinct from the other performance obligations identified in the arrangement, the Company recognizes revenue from upfront license fees allocated to the license when the license is transferred to the customer and the customer is able to use and benefit from the license. For agreements with multiple performance obligations, the Company develops assumptions that require judgment to determine the standalone selling price for each performance obligation, the determination of the transaction price, and the application of the constraints. The Company re-evaluates the transaction price at each reporting period and adjusts the estimate as changes in circumstances occur. The Company determines whether the performance obligations are satisfied over time or at a point in time and, if over time, determines the appropriate method of measuring progress for purposes of recognizing revenue.</w:t>
      </w:r>
    </w:p>
    <w:p>
      <w:pPr>
        <w:pStyle w:val="TextBody"/>
        <w:bidi w:val="0"/>
        <w:spacing w:lineRule="auto" w:line="288" w:before="240" w:after="283"/>
        <w:ind w:left="0" w:right="0" w:firstLine="540"/>
        <w:jc w:val="left"/>
      </w:pPr>
      <w:r>
        <w:rPr>
          <w:rFonts w:ascii="Times New Roman;serif" w:hAnsi="Times New Roman;serif"/>
          <w:b w:val="false"/>
          <w:i/>
          <w:color w:val="000000"/>
          <w:sz w:val="20"/>
        </w:rPr>
        <w:t xml:space="preserve">Development, regulatory or commercial milestone payments. </w:t>
      </w:r>
      <w:r>
        <w:rPr>
          <w:rFonts w:ascii="Times New Roman;serif" w:hAnsi="Times New Roman;serif"/>
          <w:b w:val="false"/>
          <w:color w:val="000000"/>
          <w:sz w:val="20"/>
        </w:rPr>
        <w:t xml:space="preserve">At the inception of each arrangement that includes payments based on the achievement of certain development, regulatory and commercial events,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customer’s control are not considered probable until the milestone is achieved. Each subsequent reporting period,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Company re-evaluates the probability of achieving such development and regulatory milestones and any related constraint, and if necessary, adjusts the Company’s estimate of the overall transaction price. Any such adjustments are recorded on a cumulative catch-up basis and recognized as revenue during the period of adjustment.</w:t>
      </w:r>
    </w:p>
    <w:p>
      <w:pPr>
        <w:pStyle w:val="TextBody"/>
        <w:bidi w:val="0"/>
        <w:spacing w:lineRule="auto" w:line="276" w:before="240" w:after="283"/>
        <w:ind w:left="0" w:right="0" w:firstLine="540"/>
        <w:jc w:val="left"/>
      </w:pPr>
      <w:r>
        <w:rPr>
          <w:rFonts w:ascii="Times New Roman;serif" w:hAnsi="Times New Roman;serif"/>
          <w:b w:val="false"/>
          <w:i/>
          <w:color w:val="000000"/>
          <w:sz w:val="20"/>
        </w:rPr>
        <w:t>Sales-based milestone payments and royalties.</w:t>
      </w:r>
      <w:r>
        <w:rPr>
          <w:color w:val="000000"/>
        </w:rPr>
        <w:t xml:space="preserve"> </w:t>
      </w:r>
      <w:r>
        <w:rPr>
          <w:rFonts w:ascii="Times New Roman;serif" w:hAnsi="Times New Roman;serif"/>
          <w:b w:val="false"/>
          <w:color w:val="000000"/>
          <w:sz w:val="20"/>
        </w:rPr>
        <w:t>For arrangements that include sales-based royalties, including milestone payments based on the volume of sales, the Company determines whether the license is deemed to be the predominant item to which the royalties or sales-based milestones relate and if such is the case, the Company recognizes revenue at the later of (i) when the related sales occur, or (ii) when the performance obligation to which some or all of the royalty has been allocated has been satisfied (or partially satisfied).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cash equivalents to be highly liquid investments with maturities of three months or less from the date of purchase.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restricted cash was $1,451 and $1,601 as of September 30, 2026 and December 31, 2025, respectively, and primarily consisted of $933 and $1,400 as of September 30, 2026 and December 31, 2025, respectively, for a letter of credit the Company is required to maintain associated with its Birmingham lease, which is reflected within other assets in the Condensed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invests in high credit quality investments in accordance with its investment policy. The objectives of the Company’s investment policy are to eliminate or greatly minimize the probability of a loss of principal value, maintain sufficient liquidity to meet cash flow requirements, and earn a competitive level of return. The Company places its excess cash with high credit quality financial institutions to limit the amount of its credit exposure. In accordance with its policy, the Company is able to invest in marketable debt securities that may consist of U.S. Treasury obligations, U.S. Government agency securities, money market funds, certificates of deposits and corporate notes and bonds. The Company’s investment policy requires it to purchase high-quality marketable securities with a maximum individual maturity of two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The Company has not realized any significant losses from its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all of its investments as available-for-sale, which are reported at fair value at each condensed consolidated balance sheet date. The Company evaluates its securities in an unrealized loss position at the end of each reporting period to determine whether a credit loss exists. Credit-related impairments are recognized through an allowance for credit losses in the Condensed Consolidated Balance Sheets with a corresponding charge to earnings. Unrealized losses not attributable to credit-related factors and unrealized gains are recognized in accumulated other comprehensive (loss) income, net of applicable taxes.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Realized gains and losses are reflected in other expense, net in the Condensed Consolidated Statements of Comprehensive Income (Loss) and are determined using the specific identification method with transactions recorded on a settlement date basis. Investments with original maturities at date of purchase beyond three months and which mature at or less than 12 months from the condensed consolidated balance sheet date are classified as current. Investments with a maturity beyond 12 months from the condensed consolidated balance sheet date are classified as long-term.</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measurement date. Valuation techniques used to measure fair value must maximize the use of observable inputs and minimize the use of unobservable inputs. </w:t>
      </w:r>
    </w:p>
    <w:p>
      <w:pPr>
        <w:pStyle w:val="TextBody"/>
        <w:bidi w:val="0"/>
        <w:spacing w:lineRule="auto" w:line="288" w:before="200" w:after="283"/>
        <w:ind w:left="0" w:right="0" w:firstLine="540"/>
        <w:jc w:val="left"/>
      </w:pPr>
      <w:r>
        <w:rPr>
          <w:rFonts w:ascii="Times New Roman;serif" w:hAnsi="Times New Roman;serif"/>
          <w:b w:val="false"/>
          <w:color w:val="000000"/>
          <w:sz w:val="20"/>
        </w:rPr>
        <w:t>Assets measured at fair value on a recurring basis include cash equivalents and investments (see “</w:t>
      </w:r>
      <w:r>
        <w:rPr>
          <w:rFonts w:ascii="Times New Roman;serif" w:hAnsi="Times New Roman;serif"/>
          <w:b w:val="false"/>
          <w:i/>
          <w:color w:val="000000"/>
          <w:sz w:val="20"/>
        </w:rPr>
        <w:t>Note 5—Fair Value Measurements and Investments</w:t>
      </w:r>
      <w:r>
        <w:rPr>
          <w:color w:val="000000"/>
        </w:rPr>
        <w:t>”</w:t>
      </w:r>
      <w:r>
        <w:rPr>
          <w:rFonts w:ascii="Times New Roman;serif" w:hAnsi="Times New Roman;serif"/>
          <w:b w:val="false"/>
          <w:color w:val="000000"/>
          <w:sz w:val="20"/>
        </w:rPr>
        <w:t>). Liabilities measured at fair value on a recurring basis include liability classified stock option and restricted stock unit awards (see “</w:t>
      </w:r>
      <w:r>
        <w:rPr>
          <w:rFonts w:ascii="Times New Roman;serif" w:hAnsi="Times New Roman;serif"/>
          <w:b w:val="false"/>
          <w:i/>
          <w:color w:val="000000"/>
          <w:sz w:val="20"/>
        </w:rPr>
        <w:t>Note 11—Stock-Based Compensation</w:t>
      </w:r>
      <w:r>
        <w:rPr>
          <w:color w:val="000000"/>
        </w:rPr>
        <w:t>”</w:t>
      </w:r>
      <w:r>
        <w:rPr>
          <w:rFonts w:ascii="Times New Roman;serif" w:hAnsi="Times New Roman;serif"/>
          <w:b w:val="false"/>
          <w:color w:val="000000"/>
          <w:sz w:val="20"/>
        </w:rPr>
        <w:t>). The carrying amounts reflected in the Condensed Consolidated Balance Sheets for cash, trade receivables, prepaid expenses and other current assets, accounts payable and accrued expenses approximate their fair values due to the short-term nature of these assets and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Trade Receivables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trade receivables represent amounts due from its customers and partners for product sales and from its license and collaboration agreements. Trade receivables are generally stated at the invoiced amount with standard payment terms that require payment within 30 to 90 days and do not bear interest.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provides reserves against trade receivables for estimated losses that may result from a customer’s inability to pay. Trade receivables are evaluated to determine if any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allowance.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values its inventory at the lower of cost or estimated net realizable value and classifies inventory as short-term or long-term based on whether it is expected to be consumed or sold within 12 months of the condensed consolidated balance sheet date. The Company uses an actual cost method and determines the cost of its inventory on a first-in, first-out basis. Raw materials and work-in-process include all inventory costs prior to packaging and labeling, including raw material, active product ingredient, and the drug product. Finished goods include packaged and labeled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inventory is subject to expiration dating. At each condensed consolidated balance sheet date, the Company evaluates inventory for excess, obsolete, short-dated, unmarketable, or otherwise impaired items and records valuation reserves as necessary. Inventory is also subject to strict quality control and monitoring that is performed throughout the manufacturing process, including release of work-in-process to finished goods. If certain batches or units of product do not meet quality specifications, the Company records a write-down of any potential unmarketable inventory to its estimated net realizable value with the resulting charge recorded as cost of product sales in the Condensed Consolidated Statements of Comprehensive Income (Loss).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obtaining initial regulatory approval for an investigational product candidate, the Company expenses costs relating to production of pre-launch inventory as research and development expense in its Condensed Consolidated Statements of Comprehensive Income (Loss) in the period incurred. After regulatory approval has been received, the Company capitalizes inventory costs.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Depreciation is computed using the straight-line method over the estimated useful lives of the assets. Computer equipment and office equipment are depreciated over a life of three years. Laboratory equipment, software, and furniture and fixtures are depreciated over a life of five years. Leasehold improvements are amortized over their estimated useful lives or the expected lease term, whichever is less. Construction in progress reflects amounts incurred for construction or improvements of property and equipment that have not been placed in service.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contractual agreements with third-party vendors who provide research and development, manufacturing, distribution, and other services in the ordinary course of business. Some of these contracts are subject to milestone-based invoicing and involve services completed over extended periods. The Company records liabilities under these contractual commitments when obligations are incurred, regardless of the invoice timing. Accrued expenses are estimated as of each condensed consolidated balance sheet date based on the facts and circumstances known at that time, which may include assumptions such as expected patient enrollment, site activation and estimated project duration. The Company accrues expenses for clinical trial activities based on the estimates of services received pursuant to contracts with multiple research institutions and clinical research organizations (“CROs”) that conduct and manage clinical trials on the Company’s behalf.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confirms the accuracy of its estimates with the service providers and adjusts if necessary. Examples of estimated accrued expenses include (i) fees paid to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 If the Company underestimates or overestimates the level of these costs, actual expenses could differ from such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 sales includes the cost of inventory related to our product revenue during the respective period, including costs associated with the acquisition and manufacture of such inventory. Cost of product sales also includes inventory write-downs and excess or obsolete inventory charges, as well as costs directly associated with the production of the Company’s commercial products.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all direct and indirect expenses relating to research and development activities, including costs associated with product development efforts, preclinical trials, clinical trials and manufacturing activities. Research and development expenses are expensed as incurred. Most of the Company’s clinical and preclinical studies are performed by third-party CROs. Costs for studies performed by CROs are accrued based upon estimates of the actual work completed in accordance with the third-party agreements. Advance payments for goods or services that will be used or rendered for future research and development activities are deferred and capitalized. Such amounts are expensed when the related goods are delivered or the related services are performed.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an allocation of general and administrative overhead costs that support the Company’s research and development efforts.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represent costs incurred to commercialize the Company’s products and support its operations. Sales and marketing expenses include personnel-related costs, activities supporting the commercialization and distribution of marketed products, market research, marketing, medical affairs, market access, and advertising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personnel-related costs and other expenses associated with quality, finance, human resources, information technology, legal, compliance, and other administrative functions, including transaction-related costs. All patent related costs are expensed to general and administrative expenses when incurred as recoverability of such expenditures is uncertain.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assets under operating and finance leases, which consist of real estate leases, laboratory equipment leases and office equipment leases. The Company determines whether a contract is, or contains, a lease at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pPr>
      <w:r>
        <w:rPr>
          <w:rFonts w:ascii="Times New Roman;serif" w:hAnsi="Times New Roman;serif"/>
          <w:b w:val="false"/>
          <w:color w:val="000000"/>
          <w:sz w:val="20"/>
        </w:rPr>
        <w:t xml:space="preserve">inception. The Company accounts for lease obligations in accordance with ASC Topic 842, </w:t>
      </w:r>
      <w:r>
        <w:rPr>
          <w:rFonts w:ascii="Times New Roman;serif" w:hAnsi="Times New Roman;serif"/>
          <w:b w:val="false"/>
          <w:i/>
          <w:color w:val="000000"/>
          <w:sz w:val="20"/>
        </w:rPr>
        <w:t xml:space="preserve">Leases </w:t>
      </w:r>
      <w:r>
        <w:rPr>
          <w:rFonts w:ascii="Times New Roman;serif" w:hAnsi="Times New Roman;serif"/>
          <w:b w:val="false"/>
          <w:color w:val="000000"/>
          <w:sz w:val="20"/>
        </w:rPr>
        <w:t>(“Topic 842”), which requires a lessee to recognize a right of use asset and a lease liability in its condensed consolidated balance sheet for most leases. For leases with an initial lease term of twelve months or less, the Company recognizes lease expense on a straight-line basis over the lease term. The Company does not separate non-lease components from lease components and instead accounts for them as a single lease component.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leases provide for renewal options, which can vary by lease. The right of use asset and lease liabilities in the Condensed Consolidated Balance Sheets represent payments over the lease term, which include renewal options for certain real estate leases that the Company is reasonably certain to exercise. Certain operating leases include rent escalation provisions, which the Company recognizes as expense on a straight-line basis.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discount rate used to determine the Company’s right of use asset and lease liability is the Company’s incremental borrowing rate on a collateralized basis over a similar term and amount in a similar economic environment, as generally an implicit rate in the lease is not readily determinable.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not made any residual value guarantees related to its leases; therefore, the Company has no corresponding liability recorded in its Condensed Consolidated Balance Sheets.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its right of use assets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right of use assets, the assets are written down to their estimated fair values.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share-based payments, including grants of stock option awards and restricted stock unit awards, are recognized in the Condensed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The Company utilizes the Black-Scholes option-pricing model or binomial lattice model to value its stock option awards. The Company reduces stock-based compensation expense for estimated forfeitures.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Actual results, and future changes in estimates, may differ substantially from the Company’s current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Costs directly associated with term loan borrowings are capitalized and netted against the corresponding debt liabilities in the Condensed Consolidated Balance Sheets. These costs are amortized to interest expense over the terms of the corresponding borrowings using the effective interest rate method.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Royalty financing obligations are repaid through royalties based on net sales of ORLADEYO. Interest expense is recognized using the effective interest rate method over the estimated period during which each of the related liabilities will be paid. This requires the Company to estimate the total future royalty payments expected to be generated from product sales over the life of each agreement. The Company reassesses the expected royalty payments each reporting period and accounts for any changes through adjustments to the effective interest rates on a prospective basis. The assumptions used in determining the expected repayment terms of the debt and amortization periods of the issuance costs require that the Company make estimates that could impact the carrying values of each of the liabilities, as well as the periods over which associated issuance costs will be amortized. Significant changes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asset and liability method is used in the Company’s accounting for income taxes. Under this method, deferred tax assets and liabilities are determined based on differences between financial reporting and tax bases of assets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liabilities and are measured using the enacted tax rates and laws that are expected to be in effect when the differences are expected to reverse.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Deferred tax assets are reduced by a valuation allowance when, based on the weight of available evidence, it is more likely than not that some portion or all of the deferred tax assets will not be realized. In assessing the realizability of deferred tax assets, the Company considers all available positive and negative evidence, including historical operating results, forecasts of future taxable income, the reversal of taxable temporary differences and available tax planning strategies.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in accordance with U.S. GAAP and recognizes the financial statement effects of a tax position only when it is more likely than not that the position will be sustained upon examination by the relevant taxing authority. The Company adjusts the amount of the liability to reflect any subsequent changes in the relevant facts and circumstances surrounding the uncertain tax positions. The Company recognizes interest and penalties related to income tax matters in income tax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Foreign research and development costs are capitalized and amortized over a 15-year period in accordance with Section 174 of the Internal Revenue Code of 1986, as amended (“IRC”). The amortization period begins with the midpoint of any taxable year that IRC Section 174 costs are first incurred, regardless of whether the expenditures were made prior to or after July 1, and runs until the midpoint of year sixteen.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countries in which the Company has operations have adopted legislation influenced by the Organization for Economic Cooperation and Development (“OECD”) Pillar Two rules, including a minimum tax rate of 15%. It is uncertain whether the U.S. will enact legislation to adopt the OECD Pillar Two framework. While the Company is currently not within the scope of the rules, it is continuing to review and evaluate additional guidance released by the OECD, along with the pending legislative adoption by additional individual countries where the Company operates. </w:t>
      </w:r>
    </w:p>
    <w:p>
      <w:pPr>
        <w:pStyle w:val="TextBody"/>
        <w:bidi w:val="0"/>
        <w:spacing w:before="0" w:after="0"/>
        <w:ind w:left="0" w:right="0" w:firstLine="540"/>
        <w:jc w:val="left"/>
      </w:pPr>
      <w:r/>
    </w:p>
    <w:p>
      <w:pPr>
        <w:pStyle w:val="TextBody"/>
        <w:bidi w:val="0"/>
        <w:spacing w:lineRule="auto" w:line="268" w:before="0" w:after="0"/>
        <w:ind w:left="0" w:right="0" w:firstLine="540"/>
        <w:jc w:val="left"/>
      </w:pPr>
      <w:r>
        <w:rPr>
          <w:rFonts w:ascii="Times New Roman;serif" w:hAnsi="Times New Roman;serif"/>
          <w:b w:val="false"/>
          <w:color w:val="000000"/>
          <w:sz w:val="20"/>
        </w:rPr>
        <w:t xml:space="preserve">On July 4, 2025, the One Big Beautiful Bill Act (“OBBBA”) was signed into law, making permanent certain provisions of the Tax Cuts and Jobs Act, including permanent 100% bonus depreciation, expensing of domestic research costs, and amendments to the business interest expense limitation. In accordance with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the Company recognized the effects of the new tax law in the period of enactment. As the Company maintains a full valuation allowance on its U.S. federal deferred tax assets, the legislation did not have a material impact on its condensed consolidated financial statements</w:t>
      </w:r>
      <w:r>
        <w:rPr>
          <w:rFonts w:ascii="Times New Roman;serif" w:hAnsi="Times New Roman;serif"/>
          <w:b/>
          <w:color w:val="000000"/>
          <w:sz w:val="20"/>
        </w:rPr>
        <w: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each of the Company’s foreign subsidiaries is primarily the local currency of the country in which the subsidiary operates. The Company’s asset and liability accounts are translated at the exchange rate in effect as of the condensed consolidated balance sheet date. Revenue and expense accounts are translated at the average exchange rate for the period. Adjustments resulting from the translation of the financial statements of the Company’s foreign subsidiaries into U.S. dollars are accumulated as a separate component of stockholders’ deficit within accumulated other comprehensive (loss) income. Gains or losses resulting from transactions denominated in foreign currencies are included in foreign currency gains (losses), net, within the Condensed Consolidated Statement of Comprehensive Income (Loss).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is calculated using the weighted average number of common shares outstanding during the period. Diluted net income (loss) per share includes the effect of potentially dilutive common shares outstanding during the period, as determined using the treasury stock method. Potentially dilutive common shares include shares that the Company could be obligated to issue from its outstanding stock-based compensation awards. In periods of net loss, all potential common shares would be anti-dilutive and therefore are excluded from the calculation of diluted net income (loss) per share.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(Loss) Income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is comprised of cumulative foreign currency translation adjustments and unrealized gains and losses on available-for-sale investments and is disclosed as a separate component of stockholders’ deficit. Realized gain and loss amounts on available-for-sale investments are reclassified from accumulated other comprehensive (loss) income and recorded as other expense, net in the Condensed Consolidated Statements of Comprehensive Income (Loss). There were no realized gains or losses reclassified out of accumulated other comprehensive (loss) income for the three and nine months ended September 30, 2026 and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Significant Customers and Other Risks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source of revenue and cash flow is sales of ORLADEYO in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ORLADEYO is generally distributed through an arrangement with a single specialty pharmacy in the United States. The specialty pharmacy subsequently sells ORLADEYO to its customers (pharmacy benefit managers, insurance companies, government programs and group purchasing organizations) who dispense product to patients. During the three months ended September 30, 2026, the Company transitioned to a new sole source specialty pharmacy for ORLADEYO shipments to patients in the United States. Under the new arrangement, the new specialty pharmacy purchases and holds inventory of ORLADEYO prior to dispensing to patients, whereas under the previous arrangement, the previous specialty pharmacy did not hold inventory prior to dispensing.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ORLADEYO and peramivir were distributed through the same specialty pharmacy in the United States, which accounted for approximately 89% and 87% of total product sales for the three and nine months ended September 30, 2025, respectively. For the three and nine months ended September 30, 2026, ORLADEYO was distributed through two specialty pharmacies as a result of the transition to the new sole source specialty pharmacy for ORLADEYO shipments to patients in the United States in the third quarter of 2026. The previous specialty pharmacy accounted for approximately 53% and 80% of total product sales for the three and nine months ended September 30, 2026, respectively, and the new specialty pharmacy accounted for approximately 43% and 16% of total product sales for the three and nine months ended September 30, 2026, respectively.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Risks from Third-Party Manufacturing and Distribution Concentration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relies on a single source manufacturer for active pharmaceutical ingredient and finished drug product manufacturing of product candidates in development and on a single specialty pharmacy for distribution of ORLADEYO shipments to patients in the United States. Delays or disruption in the manufacture or distribution of any product could adversely impact the future procurement stockpiling of the Company’s commercial product, commercial revenue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of cash and cash equivalents, investments, and trade receivables. The Company maintains its cash and cash equivalents with high-credit quality financial institutions in the United States. Such amounts may exceed federally-insured limits.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trade receivables from sales of ORLADEYO are primarily due from its previous specialty pharmacy and new specialty pharmacy, resulting in a concentration of credit risk. As of September 30, 2026, the previous and new specialty pharmacies accounted for 24% and 68% of trade receivables, net, respectively. As of December 31, 2025, the previous specialty pharmacy accounted for 84% of trade receivables, net.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ind w:left="0" w:right="0" w:firstLine="540"/>
        <w:jc w:val="left"/>
      </w:pPr>
      <w:r>
        <w:rPr>
          <w:rFonts w:ascii="Times New Roman;serif" w:hAnsi="Times New Roman;serif"/>
          <w:b w:val="false"/>
          <w:color w:val="000000"/>
          <w:sz w:val="20"/>
        </w:rPr>
        <w:t xml:space="preserve">In September 2025, the Financial Accounting Standards Board (“FASB”) issued Accounting Standards Update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xml:space="preserve">, which clarifies and modernizes the accounting for costs related to internal-use software, eliminating references to project stages and clarifying the threshold entities apply to begin capitalizing costs. ASU 2025-06 is effective for fiscal years beginning after December 15, 2027, and interim periods within those annual reporting periods, with early adoption permitted. The Company adopted ASU 2025-06 as of January 1, 2026. The adoption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this standard did not have a material effect on the Company’s Condensed Consolidated Balance Sheet, Condensed Consolidated Statement of Comprehensive Income (Loss), or Condensed Consolidated Statement of Cash Flows.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200" w:after="283"/>
        <w:ind w:left="0" w:right="0" w:firstLine="540"/>
        <w:jc w:val="left"/>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public entities, on an annual and interim basis, to provide disaggregated disclosure of certain income statement expenses into specified categories within the footnotes to the financial statements. ASU 2024-03 is effective for fiscal years beginning after December 15, 2026, and interim periods within fiscal years beginning after December 15, 2027, with early adoption permitted. The Company expects adoption of ASU 2024-03 will result in additional disclosures and is currently evaluating the impact that this ASU will have on its disclosures. The Company does not expect the adoption of ASU 2024-03 to have a material effect on its Condensed Consolidated Balance Sheet, Condensed Consolidated Statement of Comprehensive Income (Loss), or Condensed Consolidated Statement of Cash Flows.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any other recently issued accounting standards to have a material impact to its condensed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Acquisition of Astria Therapeutics, Inc.</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14, 2025, the Company, Axel Merger Sub, Inc., a Delaware corporation and a wholly owned subsidiary of the Company (“Merger Sub”), and Astria Therapeutics, Inc., a Delaware corporation (“Astria”), entered into an Agreement and Plan of Merger (the “Merger Agreement”). Pursuant to the Merger Agreement, on January 23, 2026 (the “Closing Date”), the Company completed the acquisition of all of the outstanding equity of Astria and Merger Sub merged with and into Astria, with Astria surviving as a wholly owned subsidiary of the Company (the “Merger”).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terms of the Merger Agreement, at the effective time of the Merger (the “Effective Time”), each share of Astria common stock, par value $0.001 per share, issued and outstanding immediately prior to the Effective Time was converted into the right to receive (i) 0.59 of a share of the Company’s common stock, par value $0.01 per share (and, if applicable, cash in lieu of fractional shares), and (ii) $8.55 in cash, without interest, subject to certain adjustments and applicable withholding taxes. Holders of Astria’s Series X Convertible Preferred Stock, warrants, and certain options were also entitled to certain consideration, as further set forth in the Merger Agreement.</w:t>
      </w:r>
    </w:p>
    <w:p>
      <w:pPr>
        <w:pStyle w:val="TextBody"/>
        <w:bidi w:val="0"/>
        <w:spacing w:lineRule="auto" w:line="288" w:before="200" w:after="283"/>
        <w:ind w:left="0" w:right="0" w:firstLine="540"/>
        <w:jc w:val="left"/>
      </w:pPr>
      <w:r>
        <w:rPr>
          <w:rFonts w:ascii="Times New Roman;serif" w:hAnsi="Times New Roman;serif"/>
          <w:b w:val="false"/>
          <w:color w:val="000000"/>
          <w:sz w:val="20"/>
        </w:rPr>
        <w:t xml:space="preserve">The Company accounted for the Merger as an asset acquisition in accordance with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 substantially all of the fair value of the gross assets acquired was concentrated in a single identifiable asset, the in-process research and development asset related to navenibart (the “IPR&amp;D – navenibart” asset). Accordingly, the total cost of the asset acquisition, including direct transaction costs incurred by the Company in connection with the Merger, was allocated to the assets acquired and liabilities assumed on a relative fair value basis.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Consideration Transferred and Purchase Price Allocation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total consideration transferred and allocation of consideration transferred to the assets acquired, liabilities assumed, and IPR&amp;D – navenibart in connection with the Merger: </w:t>
      </w:r>
    </w:p>
    <w:tbl>
      <w:tblPr>
        <w:tblW w:w="10205" w:type="dxa"/>
        <w:jc w:val="left"/>
        <w:tblInd w:w="0" w:type="dxa"/>
        <w:tblLayout w:type="fixed"/>
        <w:tblCellMar>
          <w:top w:w="28" w:type="dxa"/>
          <w:left w:w="28" w:type="dxa"/>
          <w:bottom w:w="28" w:type="dxa"/>
          <w:right w:w="28" w:type="dxa"/>
        </w:tblCellMar>
      </w:tblPr>
      <w:tblGrid>
        <w:gridCol w:w="2808"/>
        <w:gridCol w:w="2467"/>
        <w:gridCol w:w="2470"/>
        <w:gridCol w:w="435"/>
        <w:gridCol w:w="1705"/>
        <w:gridCol w:w="320"/>
      </w:tblGrid>
      <w:tr>
        <w:tc>
          <w:tcPr>
            <w:tcW w:w="2808"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Equity consideration</w:t>
            </w:r>
            <w:r>
              <w:rPr>
                <w:rFonts w:ascii="Times New Roman;serif" w:hAnsi="Times New Roman;serif"/>
                <w:b w:val="false"/>
                <w:color w:val="000000"/>
                <w:sz w:val="13"/>
              </w:rPr>
              <w:t>1</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transaction costs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874,313 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w:t>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investments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Trade receivables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Right of use asset  </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IPR&amp;D - navenibart</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705,267 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Assembled workforce</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expenses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 current</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 current</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Operating lease liabilities, net of current portion </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 net of current portion</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874,313 </w:t>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Consists of the issuance of 37,282 shares of the Company’s common stock multiplied by the Company’s common stock closing price of $6.75 per share on January 22, 2026. </w:t>
            </w:r>
          </w:p>
        </w:tc>
      </w:tr>
    </w:tbl>
    <w:p>
      <w:pPr>
        <w:pStyle w:val="TextBody"/>
        <w:bidi w:val="0"/>
        <w:spacing w:lineRule="auto" w:line="288" w:before="200" w:after="283"/>
        <w:ind w:left="0" w:right="0" w:firstLine="540"/>
        <w:jc w:val="left"/>
      </w:pPr>
      <w:r>
        <w:rPr>
          <w:rFonts w:ascii="Times New Roman;serif" w:hAnsi="Times New Roman;serif"/>
          <w:b w:val="false"/>
          <w:color w:val="000000"/>
          <w:sz w:val="20"/>
        </w:rPr>
        <w:t xml:space="preserve">The entire amount allocated to the IPR&amp;D – navenibart asset was expensed in accordance with ASC Topic 730, </w:t>
      </w:r>
      <w:r>
        <w:rPr>
          <w:rFonts w:ascii="Times New Roman;serif" w:hAnsi="Times New Roman;serif"/>
          <w:b w:val="false"/>
          <w:i/>
          <w:color w:val="000000"/>
          <w:sz w:val="20"/>
        </w:rPr>
        <w:t>Research and Development</w:t>
      </w:r>
      <w:r>
        <w:rPr>
          <w:rFonts w:ascii="Times New Roman;serif" w:hAnsi="Times New Roman;serif"/>
          <w:b w:val="false"/>
          <w:color w:val="000000"/>
          <w:sz w:val="20"/>
        </w:rPr>
        <w:t>. Of the total value ascribed to the IPR&amp;D – navenibart asset, $7,506 related to direct transaction costs incurred prior to the transaction close and were recorded in selling, general and administrative expense in the Consolidated Statement of Comprehensive Income (Loss) for the year ended December 31, 2025. The remaining value ascribed to the IPR&amp;D – navenibart asset of $697,761 was recognized in acquired in-process research and development in the Condensed Consolidated Statement of Comprehensive Income (Loss) for the nine months ended September 30, 2026. The amount allocated to the assembled workforce was amortized over two months to reflect the estimated benefit derived from that asset which resulted in amortization expense of $600 being recognized in research and development expense in the Condensed Consolidated Statement of Comprehensive Income (Loss) for the nine months ended September 30,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Astria Stock Options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the vesting of outstanding in-the-money Astria stock options was accelerated and the options were cancelled in exchange for a cash payment equal to the product of the difference between $13.00 and the option’s exercise price and the number of shares underlying the option, for total consideration of $43,403. Options with an exercise price equal to or exceeding $13.00 were cancelled for no consideration. The total consideration was allocated between the portion attributable to pre</w:t>
        <w:noBreakHyphen/>
        <w:t>combination service, not to exceed the fair value of the underlying options, and the portion attributable to post</w:t>
        <w:noBreakHyphen/>
        <w:t>combination service. The amount attributable to pre</w:t>
        <w:noBreakHyphen/>
        <w:t xml:space="preserve">combination service was measured based on the fair value of the options immediately prior to cash settlement, totaling $14,274, and was included in the total purchase price as cash consideration. The remaining $29,129 was attributable to post-combination service, of which $10,709 was recognized in research and development expense and $18,420 was recognized in selling, general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 in the Condensed Consolidated Statement of Comprehensive Income (Loss) for the nine months ended September 30,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Separation Costs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Concurrent with the Closing Date, the Company entered into separation agreements with certain Astria employees. The Company recognized $11,927 of costs associated with the separation agreements during the nine months ended September 30, 2026, of which $3,954 was recognized in research and development expense and $7,973 was recognized in selling, general and administrative expense in the Condensed Consolidated Statement of Comprehensive Income (Loss) for the nine months ended September 30, 2026. The following table summarizes the accrued liability activity recorded in connection with the separation agreements for the nine months ended September 30, 2026:</w:t>
      </w:r>
    </w:p>
    <w:tbl>
      <w:tblPr>
        <w:tblW w:w="8091" w:type="dxa"/>
        <w:jc w:val="left"/>
        <w:tblInd w:w="0" w:type="dxa"/>
        <w:tblLayout w:type="fixed"/>
        <w:tblCellMar>
          <w:top w:w="28" w:type="dxa"/>
          <w:left w:w="28" w:type="dxa"/>
          <w:bottom w:w="28" w:type="dxa"/>
          <w:right w:w="28" w:type="dxa"/>
        </w:tblCellMar>
      </w:tblPr>
      <w:tblGrid>
        <w:gridCol w:w="2574"/>
        <w:gridCol w:w="2261"/>
        <w:gridCol w:w="2275"/>
        <w:gridCol w:w="211"/>
        <w:gridCol w:w="616"/>
        <w:gridCol w:w="154"/>
      </w:tblGrid>
      <w:tr>
        <w:tc>
          <w:tcPr>
            <w:tcW w:w="257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 expense recorded during the three months ended March 31,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March 31,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June 30, 2026</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September 30, 2026</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any additional significant costs related to the separation agreements. The remaining unpaid costs are expected to be disbursed by September 30, 2027.</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pPr>
      <w:r>
        <w:rPr>
          <w:rFonts w:ascii="Times New Roman;serif" w:hAnsi="Times New Roman;serif"/>
          <w:b/>
          <w:color w:val="000000"/>
          <w:sz w:val="20"/>
        </w:rPr>
        <w:t xml:space="preserve">Note 3 </w:t>
      </w:r>
      <w:r>
        <w:rPr>
          <w:color w:val="000000"/>
        </w:rPr>
        <w:t xml:space="preserve">— </w:t>
      </w:r>
      <w:r>
        <w:rPr>
          <w:rFonts w:ascii="Times New Roman;serif" w:hAnsi="Times New Roman;serif"/>
          <w:b/>
          <w:color w:val="000000"/>
          <w:sz w:val="20"/>
        </w:rPr>
        <w:t>Birmingham Closure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29, 2026, the Company announced its plan to discontinue its internal discovery programs and close its Discovery Center of Excellence facility (the “Birmingham facility”) in Birmingham, Alabama (the “Birmingham Closure Plan”). The Company recognized the following one-time expenses in connection with the Birmingham Closure Plan during the three and nine months ended September 30, 2026:</w:t>
      </w:r>
    </w:p>
    <w:tbl>
      <w:tblPr>
        <w:tblW w:w="10205" w:type="dxa"/>
        <w:jc w:val="left"/>
        <w:tblInd w:w="0" w:type="dxa"/>
        <w:tblLayout w:type="fixed"/>
        <w:tblCellMar>
          <w:top w:w="28" w:type="dxa"/>
          <w:left w:w="28" w:type="dxa"/>
          <w:bottom w:w="28" w:type="dxa"/>
          <w:right w:w="28" w:type="dxa"/>
        </w:tblCellMar>
      </w:tblPr>
      <w:tblGrid>
        <w:gridCol w:w="2208"/>
        <w:gridCol w:w="1924"/>
        <w:gridCol w:w="1935"/>
        <w:gridCol w:w="802"/>
        <w:gridCol w:w="2746"/>
        <w:gridCol w:w="590"/>
      </w:tblGrid>
      <w:tr>
        <w:tc>
          <w:tcPr>
            <w:tcW w:w="2208"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Nine Months Ended September 30, 2026</w:t>
            </w:r>
          </w:p>
        </w:tc>
      </w:tr>
      <w:t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Employee termination benefits and severance</w:t>
            </w:r>
            <w:r>
              <w:rPr>
                <w:rFonts w:ascii="Times New Roman;serif" w:hAnsi="Times New Roman;serif"/>
                <w:b w:val="false"/>
                <w:color w:val="000000"/>
                <w:sz w:val="13"/>
              </w:rPr>
              <w:t>(1)</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impairment</w:t>
            </w:r>
          </w:p>
        </w:tc>
        <w:tc>
          <w:tcPr>
            <w:tcW w:w="3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 impairment</w:t>
            </w:r>
          </w:p>
        </w:tc>
        <w:tc>
          <w:tcPr>
            <w:tcW w:w="3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 impairment</w:t>
            </w:r>
          </w:p>
        </w:tc>
        <w:tc>
          <w:tcPr>
            <w:tcW w:w="3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3"/>
              </w:rPr>
              <w:t xml:space="preserve">(1) </w:t>
            </w:r>
            <w:r>
              <w:rPr>
                <w:rFonts w:ascii="Times New Roman;serif" w:hAnsi="Times New Roman;serif"/>
                <w:b w:val="false"/>
                <w:color w:val="000000"/>
                <w:sz w:val="20"/>
              </w:rPr>
              <w:t>Includes stock-based compensation expense for certain impacted employees.</w:t>
            </w:r>
          </w:p>
        </w:tc>
        <w:tc>
          <w:tcPr>
            <w:tcW w:w="4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activities related to the Birmingham Closure Plan to be substantially completed by December 31, 2026, except for ongoing obligations under the Birmingham facility lease.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Separation Costs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Birmingham Closure Plan, the Company entered into separation agreements with certain employees. The Company notified all impacted employees in August 2026, and the majority of the impacted employees have planned termination dates in 2026, with certain employees exiting in the first quarter of 2027. The Company recognized $6,061 of costs associated with the separation agreements during the three and nine months ended September 30, 2026, of which $5,150 was recognized in research and development expenses and $911 was recognized in selling, general and administrative expenses in the Condensed Consolidated Statements of Comprehensive Income (Loss). As of September 30, 2026, $1,457 of the costs were paid and the remaining $4,604 is included within accrued expenses in the Condensed Consolidated Balance Sheet.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Company recognized incremental stock-based compensation expense of $997 during the three and nine months ended September 30, 2026 related to modifications of equity awards for certain impacted employees.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accrued liability activity recorded in connection with the separation agreements for the three months ended September 30, 2026:</w:t>
      </w:r>
    </w:p>
    <w:tbl>
      <w:tblPr>
        <w:tblW w:w="7355" w:type="dxa"/>
        <w:jc w:val="left"/>
        <w:tblInd w:w="0" w:type="dxa"/>
        <w:tblLayout w:type="fixed"/>
        <w:tblCellMar>
          <w:top w:w="28" w:type="dxa"/>
          <w:left w:w="28" w:type="dxa"/>
          <w:bottom w:w="28" w:type="dxa"/>
          <w:right w:w="28" w:type="dxa"/>
        </w:tblCellMar>
      </w:tblPr>
      <w:tblGrid>
        <w:gridCol w:w="2311"/>
        <w:gridCol w:w="2024"/>
        <w:gridCol w:w="2039"/>
        <w:gridCol w:w="211"/>
        <w:gridCol w:w="616"/>
        <w:gridCol w:w="154"/>
      </w:tblGrid>
      <w:tr>
        <w:tc>
          <w:tcPr>
            <w:tcW w:w="2311"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 recorded during the three months ended September 30,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September 30,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remaining unpaid costs are expected to be disbursed by September 30, 2027.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lineRule="auto" w:line="288" w:before="200" w:after="283"/>
        <w:ind w:left="0" w:right="0" w:firstLine="540"/>
        <w:jc w:val="left"/>
      </w:pPr>
      <w:r>
        <w:rPr>
          <w:rFonts w:ascii="Times New Roman;serif" w:hAnsi="Times New Roman;serif"/>
          <w:b w:val="false"/>
          <w:color w:val="000000"/>
          <w:sz w:val="20"/>
        </w:rPr>
        <w:t>In connection with the Birmingham Closure Plan, the Company entered into agreements to sell the owned property and equipment associated with the Birmingham facility. As of September 30, 2026, the related disposal group met the criteria for classification as held for sale under Topic 360</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Accordingly, an impairment charge of $1,526 was recognized in research and development expense in the Condensed Consolidated Statements of Comprehensive Income (Loss) during the three and nine months ended September 30, 2026 to reduce the carrying value of the disposal group to its fair value less costs to sell. As of September 30, 2026, the property and equipment disposal group was classified as held for sale in the Condensed Consolidated Balance Sheet.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Right of Use Assets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lease arrangements associated with its Birmingham facility and certain equipment. As part of the Birmingham Closure Plan, the Company committed to a plan to vacate the Birmingham facility and cease use of the leased equipment. As a result of the decision to vacate the facility, the Company was no longer reasonably certain to exercise the optional extension periods under the facility lease. In accordance with Topic 842, the Company reassessed the facility lease term to exclude the optional extension periods and remeasured the related lease liability using the revised lease term and discount rate, resulting in a $2,827 reduction to both the right of use asset and lease liability as of September 30, 2026. </w:t>
      </w:r>
    </w:p>
    <w:p>
      <w:pPr>
        <w:pStyle w:val="TextBody"/>
        <w:bidi w:val="0"/>
        <w:spacing w:lineRule="auto" w:line="288" w:before="200" w:after="283"/>
        <w:ind w:left="0" w:right="0" w:firstLine="540"/>
        <w:jc w:val="left"/>
      </w:pPr>
      <w:r>
        <w:rPr>
          <w:rFonts w:ascii="Times New Roman;serif" w:hAnsi="Times New Roman;serif"/>
          <w:b w:val="false"/>
          <w:color w:val="000000"/>
          <w:sz w:val="20"/>
        </w:rPr>
        <w:t>Following the lease remeasurement, the planned actions were also determined to be indicators of impairment under Topic 360</w:t>
      </w:r>
      <w:r>
        <w:rPr>
          <w:rFonts w:ascii="Times New Roman;serif" w:hAnsi="Times New Roman;serif"/>
          <w:b w:val="false"/>
          <w:i/>
          <w:color w:val="000000"/>
          <w:sz w:val="20"/>
        </w:rPr>
        <w:t xml:space="preserve">. </w:t>
      </w:r>
      <w:r>
        <w:rPr>
          <w:rFonts w:ascii="Times New Roman;serif" w:hAnsi="Times New Roman;serif"/>
          <w:b w:val="false"/>
          <w:color w:val="000000"/>
          <w:sz w:val="20"/>
        </w:rPr>
        <w:t>Accordingly, the Company evaluated the facility asset group, which included the facility right of use asset and related leasehold improvements, for recoverability and concluded that its carrying amount was not recoverable. The carrying amounts of the assets were therefore reduced to their estimated fair values of zero. The Company also evaluated the right of use assets associated with the leased equipment for impairment and reduced their carrying amounts to their estimated fair values of zero. As a result, the Company recognized impairment charges of $3,279 related to right of use assets and $4,733 related to leasehold improvements in research and development expense in the Condensed Consolidated Statements of Comprehensive Income (Loss) during the three and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Note 4</w:t>
      </w:r>
      <w:r>
        <w:rPr>
          <w:color w:val="000000"/>
        </w:rPr>
        <w:t xml:space="preserve"> — </w:t>
      </w:r>
      <w:r>
        <w:rPr>
          <w:rFonts w:ascii="Times New Roman;serif" w:hAnsi="Times New Roman;serif"/>
          <w:b/>
          <w:color w:val="000000"/>
          <w:sz w:val="20"/>
        </w:rPr>
        <w:t>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revenues for the three and nine months ended September 30, 2026 and 2025:</w:t>
      </w:r>
    </w:p>
    <w:tbl>
      <w:tblPr>
        <w:tblW w:w="8808" w:type="dxa"/>
        <w:jc w:val="left"/>
        <w:tblInd w:w="0" w:type="dxa"/>
        <w:tblLayout w:type="fixed"/>
        <w:tblCellMar>
          <w:top w:w="28" w:type="dxa"/>
          <w:left w:w="28" w:type="dxa"/>
          <w:bottom w:w="28" w:type="dxa"/>
          <w:right w:w="28" w:type="dxa"/>
        </w:tblCellMar>
      </w:tblPr>
      <w:tblGrid>
        <w:gridCol w:w="842"/>
        <w:gridCol w:w="740"/>
        <w:gridCol w:w="742"/>
        <w:gridCol w:w="251"/>
        <w:gridCol w:w="984"/>
        <w:gridCol w:w="129"/>
        <w:gridCol w:w="129"/>
        <w:gridCol w:w="129"/>
        <w:gridCol w:w="129"/>
        <w:gridCol w:w="251"/>
        <w:gridCol w:w="984"/>
        <w:gridCol w:w="129"/>
        <w:gridCol w:w="109"/>
        <w:gridCol w:w="109"/>
        <w:gridCol w:w="109"/>
        <w:gridCol w:w="241"/>
        <w:gridCol w:w="944"/>
        <w:gridCol w:w="124"/>
        <w:gridCol w:w="124"/>
        <w:gridCol w:w="124"/>
        <w:gridCol w:w="124"/>
        <w:gridCol w:w="241"/>
        <w:gridCol w:w="944"/>
        <w:gridCol w:w="176"/>
      </w:tblGrid>
      <w:t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174,833 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481,382 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450,157 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159,395 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554,955 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468,282 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pPr>
      <w:r/>
    </w:p>
    <w:p>
      <w:pPr>
        <w:pStyle w:val="TextBody"/>
        <w:bidi w:val="0"/>
        <w:spacing w:lineRule="auto" w:line="268" w:before="0" w:after="0"/>
        <w:ind w:left="0" w:right="0" w:firstLine="540"/>
        <w:jc w:val="left"/>
      </w:pPr>
      <w:r>
        <w:rPr>
          <w:rFonts w:ascii="Times New Roman;serif" w:hAnsi="Times New Roman;serif"/>
          <w:b w:val="false"/>
          <w:color w:val="000000"/>
          <w:sz w:val="20"/>
        </w:rPr>
        <w:t>ORLADEYO revenue includes product sales and royalties. License and other revenues includes revenue recognized related to the Kaken License Agreement and Neopharmed License Agreement (see “</w:t>
      </w:r>
      <w:r>
        <w:rPr>
          <w:rFonts w:ascii="Times New Roman;serif" w:hAnsi="Times New Roman;serif"/>
          <w:b w:val="false"/>
          <w:i/>
          <w:color w:val="000000"/>
          <w:sz w:val="20"/>
        </w:rPr>
        <w:t xml:space="preserve">Note 12—Collaborative and Other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pPr>
      <w:r>
        <w:rPr>
          <w:rFonts w:ascii="Times New Roman;serif" w:hAnsi="Times New Roman;serif"/>
          <w:b w:val="false"/>
          <w:i/>
          <w:color w:val="000000"/>
          <w:sz w:val="20"/>
        </w:rPr>
        <w:t>Relationships”</w:t>
      </w:r>
      <w:r>
        <w:rPr>
          <w:rFonts w:ascii="Times New Roman;serif" w:hAnsi="Times New Roman;serif"/>
          <w:b w:val="false"/>
          <w:color w:val="000000"/>
          <w:sz w:val="20"/>
        </w:rPr>
        <w:t>), quarterly royalty payments from BioCryst Ireland Limited (see “</w:t>
      </w:r>
      <w:r>
        <w:rPr>
          <w:rFonts w:ascii="Times New Roman;serif" w:hAnsi="Times New Roman;serif"/>
          <w:b w:val="false"/>
          <w:i/>
          <w:color w:val="000000"/>
          <w:sz w:val="20"/>
        </w:rPr>
        <w:t>Note 7—Royalty Financing Obligations”</w:t>
      </w:r>
      <w:r>
        <w:rPr>
          <w:rFonts w:ascii="Times New Roman;serif" w:hAnsi="Times New Roman;serif"/>
          <w:b w:val="false"/>
          <w:color w:val="000000"/>
          <w:sz w:val="20"/>
        </w:rPr>
        <w:t xml:space="preserve">), and product sales and royalty revenue related to peramivir.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from customers in the U.S. represented approximately 96% of ORLADEYO revenues for the three and nine months ended September 30, 2026. Revenues from customers in the U.S. represented approximately 89% of ORLADEYO revenues for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Note 5</w:t>
      </w:r>
      <w:r>
        <w:rPr>
          <w:color w:val="000000"/>
        </w:rPr>
        <w:t xml:space="preserve"> — </w:t>
      </w:r>
      <w:r>
        <w:rPr>
          <w:rFonts w:ascii="Times New Roman;serif" w:hAnsi="Times New Roman;serif"/>
          <w:b/>
          <w:color w:val="000000"/>
          <w:sz w:val="20"/>
        </w:rPr>
        <w:t>Fair Value Measurements and Investments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Level 1 — observable inputs such as quoted prices in active markets for identical assets;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Level 2 — inputs other than the quoted prices in active markets that are observable either directly or indirectly; and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Level 3 — unobservable inputs for which there is little or no market data, which requires the Company to develop its own assumptions.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hierarchy requires the Company to use observable market data, when available, and to minimize the use of unobservable inputs when determining fair value.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were as follows:</w:t>
      </w:r>
    </w:p>
    <w:tbl>
      <w:tblPr>
        <w:tblW w:w="10205" w:type="dxa"/>
        <w:jc w:val="left"/>
        <w:tblInd w:w="0" w:type="dxa"/>
        <w:tblLayout w:type="fixed"/>
        <w:tblCellMar>
          <w:top w:w="28" w:type="dxa"/>
          <w:left w:w="28" w:type="dxa"/>
          <w:bottom w:w="28" w:type="dxa"/>
          <w:right w:w="28" w:type="dxa"/>
        </w:tblCellMar>
      </w:tblPr>
      <w:tblGrid>
        <w:gridCol w:w="930"/>
        <w:gridCol w:w="752"/>
        <w:gridCol w:w="620"/>
        <w:gridCol w:w="357"/>
        <w:gridCol w:w="1223"/>
        <w:gridCol w:w="184"/>
        <w:gridCol w:w="109"/>
        <w:gridCol w:w="109"/>
        <w:gridCol w:w="109"/>
        <w:gridCol w:w="359"/>
        <w:gridCol w:w="1408"/>
        <w:gridCol w:w="185"/>
        <w:gridCol w:w="109"/>
        <w:gridCol w:w="109"/>
        <w:gridCol w:w="109"/>
        <w:gridCol w:w="584"/>
        <w:gridCol w:w="1123"/>
        <w:gridCol w:w="303"/>
        <w:gridCol w:w="109"/>
        <w:gridCol w:w="109"/>
        <w:gridCol w:w="109"/>
        <w:gridCol w:w="211"/>
        <w:gridCol w:w="826"/>
        <w:gridCol w:w="159"/>
      </w:tblGrid>
      <w:tr>
        <w:tc>
          <w:tcPr>
            <w:tcW w:w="93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55,108 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investments:</w:t>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1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55,108 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278,027 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333,135 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30"/>
        <w:gridCol w:w="752"/>
        <w:gridCol w:w="620"/>
        <w:gridCol w:w="357"/>
        <w:gridCol w:w="1223"/>
        <w:gridCol w:w="184"/>
        <w:gridCol w:w="109"/>
        <w:gridCol w:w="109"/>
        <w:gridCol w:w="109"/>
        <w:gridCol w:w="359"/>
        <w:gridCol w:w="1408"/>
        <w:gridCol w:w="185"/>
        <w:gridCol w:w="109"/>
        <w:gridCol w:w="109"/>
        <w:gridCol w:w="109"/>
        <w:gridCol w:w="584"/>
        <w:gridCol w:w="1123"/>
        <w:gridCol w:w="303"/>
        <w:gridCol w:w="109"/>
        <w:gridCol w:w="109"/>
        <w:gridCol w:w="109"/>
        <w:gridCol w:w="211"/>
        <w:gridCol w:w="826"/>
        <w:gridCol w:w="159"/>
      </w:tblGrid>
      <w:tr>
        <w:tc>
          <w:tcPr>
            <w:tcW w:w="93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investments:</w:t>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1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281,975 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fair value of the Company’s investments by type: </w:t>
      </w:r>
    </w:p>
    <w:tbl>
      <w:tblPr>
        <w:tblW w:w="10205" w:type="dxa"/>
        <w:jc w:val="left"/>
        <w:tblInd w:w="0" w:type="dxa"/>
        <w:tblLayout w:type="fixed"/>
        <w:tblCellMar>
          <w:top w:w="28" w:type="dxa"/>
          <w:left w:w="28" w:type="dxa"/>
          <w:bottom w:w="28" w:type="dxa"/>
          <w:right w:w="28" w:type="dxa"/>
        </w:tblCellMar>
      </w:tblPr>
      <w:tblGrid>
        <w:gridCol w:w="1332"/>
        <w:gridCol w:w="1169"/>
        <w:gridCol w:w="1175"/>
        <w:gridCol w:w="211"/>
        <w:gridCol w:w="826"/>
        <w:gridCol w:w="109"/>
        <w:gridCol w:w="109"/>
        <w:gridCol w:w="109"/>
        <w:gridCol w:w="109"/>
        <w:gridCol w:w="217"/>
        <w:gridCol w:w="480"/>
        <w:gridCol w:w="114"/>
        <w:gridCol w:w="109"/>
        <w:gridCol w:w="109"/>
        <w:gridCol w:w="109"/>
        <w:gridCol w:w="379"/>
        <w:gridCol w:w="460"/>
        <w:gridCol w:w="197"/>
        <w:gridCol w:w="109"/>
        <w:gridCol w:w="109"/>
        <w:gridCol w:w="109"/>
        <w:gridCol w:w="272"/>
        <w:gridCol w:w="622"/>
        <w:gridCol w:w="142"/>
        <w:gridCol w:w="109"/>
        <w:gridCol w:w="109"/>
        <w:gridCol w:w="109"/>
        <w:gridCol w:w="211"/>
        <w:gridCol w:w="826"/>
        <w:gridCol w:w="155"/>
      </w:tblGrid>
      <w:t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278,027 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7"/>
        <w:gridCol w:w="1129"/>
        <w:gridCol w:w="1135"/>
        <w:gridCol w:w="211"/>
        <w:gridCol w:w="826"/>
        <w:gridCol w:w="109"/>
        <w:gridCol w:w="109"/>
        <w:gridCol w:w="109"/>
        <w:gridCol w:w="109"/>
        <w:gridCol w:w="211"/>
        <w:gridCol w:w="616"/>
        <w:gridCol w:w="109"/>
        <w:gridCol w:w="109"/>
        <w:gridCol w:w="109"/>
        <w:gridCol w:w="109"/>
        <w:gridCol w:w="278"/>
        <w:gridCol w:w="614"/>
        <w:gridCol w:w="144"/>
        <w:gridCol w:w="109"/>
        <w:gridCol w:w="109"/>
        <w:gridCol w:w="109"/>
        <w:gridCol w:w="369"/>
        <w:gridCol w:w="475"/>
        <w:gridCol w:w="192"/>
        <w:gridCol w:w="109"/>
        <w:gridCol w:w="109"/>
        <w:gridCol w:w="109"/>
        <w:gridCol w:w="211"/>
        <w:gridCol w:w="826"/>
        <w:gridCol w:w="155"/>
      </w:tblGrid>
      <w:t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consist of fixed income securities whose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30 securities with a total estimated fair value of $243,583 in an unrealized loss position. The unrealized losses were primarily attributable to changes in market interest rates and not to deterioration in the credit quality of the issuers. The Company does not have an intent to sell these investments, and it is more likely than not that the investments will be held until recovery of their amortized cost basis. As such, no allowance was recognized.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maturity for the Company’s investments at September 30, 2026 and December 31, 2025:</w:t>
      </w:r>
    </w:p>
    <w:tbl>
      <w:tblPr>
        <w:tblW w:w="7391" w:type="dxa"/>
        <w:jc w:val="left"/>
        <w:tblInd w:w="0" w:type="dxa"/>
        <w:tblLayout w:type="fixed"/>
        <w:tblCellMar>
          <w:top w:w="28" w:type="dxa"/>
          <w:left w:w="28" w:type="dxa"/>
          <w:bottom w:w="28" w:type="dxa"/>
          <w:right w:w="28" w:type="dxa"/>
        </w:tblCellMar>
      </w:tblPr>
      <w:tblGrid>
        <w:gridCol w:w="1277"/>
        <w:gridCol w:w="1122"/>
        <w:gridCol w:w="1126"/>
        <w:gridCol w:w="326"/>
        <w:gridCol w:w="1276"/>
        <w:gridCol w:w="168"/>
        <w:gridCol w:w="109"/>
        <w:gridCol w:w="109"/>
        <w:gridCol w:w="109"/>
        <w:gridCol w:w="313"/>
        <w:gridCol w:w="1228"/>
        <w:gridCol w:w="228"/>
      </w:tblGrid>
      <w:t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one year or less</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185,011 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after one year through two years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278,027 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pPr>
      <w:r>
        <w:rPr>
          <w:rFonts w:ascii="Times New Roman;serif" w:hAnsi="Times New Roman;serif"/>
          <w:b/>
          <w:color w:val="000000"/>
          <w:sz w:val="20"/>
        </w:rPr>
        <w:t xml:space="preserve">Note 6 </w:t>
      </w:r>
      <w:r>
        <w:rPr>
          <w:color w:val="000000"/>
        </w:rPr>
        <w:t xml:space="preserve">— </w:t>
      </w:r>
      <w:r>
        <w:rPr>
          <w:rFonts w:ascii="Times New Roman;serif" w:hAnsi="Times New Roman;serif"/>
          <w:b/>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2026 and December 31, 2025, the Company’s inventory related to ORLADEYO and peramivir consisted of the following: </w:t>
      </w:r>
    </w:p>
    <w:tbl>
      <w:tblPr>
        <w:tblW w:w="5606" w:type="dxa"/>
        <w:jc w:val="left"/>
        <w:tblInd w:w="0" w:type="dxa"/>
        <w:tblLayout w:type="fixed"/>
        <w:tblCellMar>
          <w:top w:w="28" w:type="dxa"/>
          <w:left w:w="28" w:type="dxa"/>
          <w:bottom w:w="28" w:type="dxa"/>
          <w:right w:w="28" w:type="dxa"/>
        </w:tblCellMar>
      </w:tblPr>
      <w:tblGrid>
        <w:gridCol w:w="630"/>
        <w:gridCol w:w="552"/>
        <w:gridCol w:w="558"/>
        <w:gridCol w:w="358"/>
        <w:gridCol w:w="1226"/>
        <w:gridCol w:w="185"/>
        <w:gridCol w:w="109"/>
        <w:gridCol w:w="109"/>
        <w:gridCol w:w="109"/>
        <w:gridCol w:w="344"/>
        <w:gridCol w:w="1175"/>
        <w:gridCol w:w="251"/>
      </w:tblGrid>
      <w:t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1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46,188 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30,163 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15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45,011 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 xml:space="preserve">Note 7 </w:t>
      </w:r>
      <w:r>
        <w:rPr>
          <w:color w:val="000000"/>
        </w:rPr>
        <w:t xml:space="preserve">— </w:t>
      </w:r>
      <w:r>
        <w:rPr>
          <w:rFonts w:ascii="Times New Roman;serif" w:hAnsi="Times New Roman;serif"/>
          <w:b/>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pStyle w:val="TextBody"/>
        <w:bidi w:val="0"/>
        <w:spacing w:before="0" w:after="0"/>
        <w:ind w:left="0" w:right="0" w:firstLine="54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royalties payable under the 2021 RPI Royalty Purchase Agreement are in addition to the royalties payable to RPI under the 2020 RPI Royalty Purchase Agreement.</w:t>
      </w:r>
    </w:p>
    <w:p>
      <w:pPr>
        <w:pStyle w:val="TextBody"/>
        <w:bidi w:val="0"/>
        <w:spacing w:before="0" w:after="0"/>
        <w:ind w:left="0" w:right="0" w:firstLine="54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Concurrent with entering into the 2021 RPI Royalty Purchase Agreement, the Company and RPI entered into a Common Stock Purchase Agreement pursuant to which the Company sold common stock to RPI for a premium of $4,269. The premium was deferred and is being amortized through interest expense using the effective interest method over the term of the applicable arrangement.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 As of September 30, 2026, cumulative royalties paid and payable under the OMERS Royalty Purchase Agreement were $128,160.</w:t>
      </w:r>
    </w:p>
    <w:p>
      <w:pPr>
        <w:pStyle w:val="TextBody"/>
        <w:bidi w:val="0"/>
        <w:spacing w:lineRule="auto" w:line="288" w:before="200" w:after="283"/>
        <w:ind w:left="0" w:right="0" w:firstLine="540"/>
        <w:jc w:val="left"/>
      </w:pPr>
      <w:r>
        <w:rPr>
          <w:rFonts w:ascii="Times New Roman;serif" w:hAnsi="Times New Roman;serif"/>
          <w:b w:val="false"/>
          <w:color w:val="000000"/>
          <w:sz w:val="20"/>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Pharmakon Loan Agreement (as defined in Note 8 herein) through its payoff and termination on October 8, 2025 or, subsequent to that date, the Blackstone Loan Agreement (as defined in Note 8 herein), as applicable.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 xml:space="preserve">for further details on the Pharmakon Loan Agreement and Blackstone Loan Agreement. The restrictions under the Royalty Purchase Agreements on the ability of the Company or any of its subsidiaries to incur indebtedness are eliminated after the achievement of certain specified milestones in the Royalty Purchase Agreements.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Stock Purchase Agreement, RPI and OMERS provided their written consent to the consummation of the sale of the Company’s European ORLADEYO business. Concurrent with the closing of the transaction on October 1, 2025, Neopharmed paid a $15,000 royalty release fee to RPI on behalf of the Company and the Company paid a $500 royalty release fee to OMERS. The payments were accounted for as a debt modification and the royalty release fees, totaling $15,500, were capitalized as a reduction to royalty financing obligations and are being amortized as interest expense over the terms of the arrangements using the effective interest rate method. In accordance with the Stock Purchase Agreement, the Company receives quarterly royalty payments from BioCryst Ireland equal to amounts owed under its Royalty Purchase Agreements with RPI and OMERS for the sale of ORLADEYO products in the Territory. During the three and nine months ended September 30, 2026, the Company recognized $1,322 and $7,211, respectively, in license and other revenues in the Condensed Consolidated Statements of Comprehensive Income (Loss) related to the quarterly royalty payments from BioCryst Ireland.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cash consideration received pursuant to the Royalty Purchase Agreements was recorded as royalty financing obligations in the Company’s Condensed Consolidated Balance Sheets. Deferred financing costs, which consisted primarily of advisory and legal fees, were capitalized as a reduction to royalty financing obligations and are amortized using the effective interest method over the terms of the arrangements. At inception, the royalty financing obligations were measured at fair value based on the Company’s estimates of future royalties expected to be paid to the counterparties over the terms of the arrangements. The Company subsequently records the obligations using the effective interest method. As of September 30, 2026 and December 31, 2025, the carrying values of the royalty financing obligations approximated their fair values and were measured based on the Company’s current estimates of future payments to RPI and OMERS over the lives of the arrangements, which are considered Level 3 inputs. The Company utilizes the prospective method to account for changes in estimated future royalty payments. Under the prospective method, revised estimates of future cash flows result in the determination of new effective interest rates that equate the present value of the revised estimated remaining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flows with the carrying amounts of the royalty financing obligations. The revised effective interest rate is used prospectively to recognize interest expense for the remaining periods.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assesses the amount and timing of expected royalty payments based on internal projections of future net product sales, which are based on key assumptions, including paid patients and price. If projected royalty payments for the next twelve months exceed interest accretion for the same period, the excess is classified in the royalty financing obligations current liability in the Company’s Condensed Consolidated Balance Sheets.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royalty financing obligations activity for the three and nine months ended September 30, 2026, as well as the effective interest rate as of September 30, 2026: </w:t>
      </w:r>
    </w:p>
    <w:tbl>
      <w:tblPr>
        <w:tblW w:w="10205" w:type="dxa"/>
        <w:jc w:val="left"/>
        <w:tblInd w:w="0" w:type="dxa"/>
        <w:tblLayout w:type="fixed"/>
        <w:tblCellMar>
          <w:top w:w="28" w:type="dxa"/>
          <w:left w:w="28" w:type="dxa"/>
          <w:bottom w:w="28" w:type="dxa"/>
          <w:right w:w="28" w:type="dxa"/>
        </w:tblCellMar>
      </w:tblPr>
      <w:tblGrid>
        <w:gridCol w:w="1504"/>
        <w:gridCol w:w="1298"/>
        <w:gridCol w:w="130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55"/>
      </w:tblGrid>
      <w:tr>
        <w:tc>
          <w:tcPr>
            <w:tcW w:w="150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2020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2021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OMERS</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169,559 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465,688 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171,451 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426,789 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421,683 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interest on the royalty financing obligations was $18,859 and $45,647 for the three and nine months ended September 30, 2026, respectively. Cash paid for interest on the royalty financing obligations was $18,319 and $55,240 for the three and nine months ended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 xml:space="preserve">Note 8 </w:t>
      </w:r>
      <w:r>
        <w:rPr>
          <w:color w:val="000000"/>
        </w:rPr>
        <w:t xml:space="preserve">— </w:t>
      </w:r>
      <w:r>
        <w:rPr>
          <w:rFonts w:ascii="Times New Roman;serif" w:hAnsi="Times New Roman;serif"/>
          <w:b/>
          <w:color w:val="000000"/>
          <w:sz w:val="20"/>
        </w:rPr>
        <w:t>Debt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Blackstone Loan Agreement</w:t>
      </w:r>
    </w:p>
    <w:p>
      <w:pPr>
        <w:pStyle w:val="TextBody"/>
        <w:bidi w:val="0"/>
        <w:spacing w:lineRule="auto" w:line="288" w:before="200" w:after="283"/>
        <w:ind w:left="0" w:right="0" w:firstLine="540"/>
        <w:jc w:val="left"/>
      </w:pPr>
      <w:r>
        <w:rPr>
          <w:rFonts w:ascii="Times New Roman;serif" w:hAnsi="Times New Roman;serif"/>
          <w:b w:val="false"/>
          <w:color w:val="000000"/>
          <w:sz w:val="20"/>
        </w:rPr>
        <w:t>On January 23, 2026, the Company entered into a Loan Agreement (the “Blackstone Loan Agreement”) with Blackstone Alternative Credit Advisors LP and Blackstone Life Sciences Advisors L.L.C. (together, “Blackstone”), the guarantors and lenders from time to time party thereto, and Wilmington Trust, National Association, as agent, pursuant to which the Company borrowed $400,000 in aggregate principal amount of term loans (the “Term Loans”). The Term Loans were funded on January 23, 2026 (the “Term Loans Closing Date”), and the proceeds were used to fund the cash portion of the consideration for the acquisition of Astria (see “</w:t>
      </w:r>
      <w:r>
        <w:rPr>
          <w:rFonts w:ascii="Times New Roman;serif" w:hAnsi="Times New Roman;serif"/>
          <w:b w:val="false"/>
          <w:i/>
          <w:color w:val="000000"/>
          <w:sz w:val="20"/>
        </w:rPr>
        <w:t>Note 2—Acquisition of Astria Therapeutics, Inc.”</w:t>
      </w:r>
      <w:r>
        <w:rPr>
          <w:rFonts w:ascii="Times New Roman;serif" w:hAnsi="Times New Roman;serif"/>
          <w:b w:val="false"/>
          <w:color w:val="000000"/>
          <w:sz w:val="20"/>
        </w:rPr>
        <w:t>). Subject to the mutual agreement between the Company, Blackstone and the lenders, the Company may request additional term loans of up to $150,000 in the aggregate.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mature on January 23, 2031 (the “Maturity Date”) and require quarterly interest-only payments until the Maturity Date, with outstanding principal due at maturity. Interest accrues at a rate equal to the three-month Secured Overnight Financing Rate (“SOFR”), subject to a floor of 1.75%, plus 4.50% per annum.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second anniversary of the Term Loans Closing Date, and provided that no event of default is ongoing, the Company may elect to pay a portion of the applicable interest payment in-kind (a “Blackstone PIK Interest Payment”) by capitalizing as principal up to 200 basis points of interest accrued during the applicable interest period, subject to an incremental margin increase of 0.50% per annum on the capitalized portion.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make a mandatory prepayment of the Term Loans (i) upon the occurrence of a change of control, (ii) upon the incurrence of certain non-permitted indebtedness, (iii) upon the occurrence of certain asset sales (subject to certain exceptions), or (iv) upon the occurrence of certain events of loss related to the assets of the Company or its subsidiaries (subject to certain exceptions). The Company may make voluntary prepayments in whole or in part in an aggregate principal amount of $5,000 or any whole multiple of $1,000 in excess thereof. Prepayments are subject to a prepayment premium that declines over time.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Blackstone Loan Agreement contains representations and warranties and affirmative and negative covenants customary for financings of this type (including a minimum liquidity covenant), as well as customary events of default. A failure to comply with the covenants in the Blackstone Loan Agreement, or an occurrence of any other event of default, could permit the lenders under the Blackstone Loan Agreement to declare the borrowings thereunder, together with accrued interest and fees, and any applicable prepayment premium, to be immediately due and payable.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Blackstone Loan Agreement are secured by a security interest in substantially all of the Company’s and its subsidiaries’ assets, subject to certain exceptions.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total borrowings of $400,000 under the Blackstone Loan Agreement. Interest expense accrued on the Term Loans for the three and nine months ended September 30, 2026 totaled $8,419 and $22,884, respectively, of which $22,789 was paid during the nine months ended September 30, 2026, and $95 was included in accrued expenses in the Condensed Consolidated Balance Sheet as of September 30, 2026.</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Debt fees and issuance costs incurred for the Term Loans under the Blackstone Loan Agreement totaled $4,952 and are being amortized as interest expense using the effective interest rate method over the remaining term of the Term Loans. Deferred financing amortization of $209 and $561 was recognized for the three and nine months ended September 30, 2026,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debt approximates its carrying value based on prevailing interest rates as of the condensed consolidated balance sheet date and is considered as Level 2 in the fair value hierarchy.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 owned subsidiaries were guarantors to the Pharmakon Loan Agreement. The Pharmakon Loan Agreement provided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credit facility with Athyrium Opportunities III Co-Invest 1 LP (the “Athyrium Credit Agreement”) and to pay associated transaction costs and fees, and used the remaining net proceeds of $25,805 for other general corporate purposes.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provided for quarterly interest-only payments until the maturity date of April 17, 2028, with the unpaid principal amount of the outstanding Tranche A Loan due and payable on the maturity date. During the first 18 months following the Tranche A Closing Date, the Company had the option to make a portion of the applicable interest payment on the Tranche A Loan in-kind (a “Pharmakon PIK Interest Payment”) by capitalizing as principal up to 50% of the amount of interest accrued on the Tranche A Loan during the applicable interest period. The Tranche A Loan bore interest at a rate equal to the three-month SOFR, which could be no less than 1.75%, plus 7.00%, per annum or, for each interest period in which a Pharmakon PIK Interest Payment was made, with respect to the Tranche A Loan, SOFR plus 7.25%, per annum.</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on the Tranche A Loan for the three and nine months ended September 30, 2025 was $6,110 and $22,789, respectively, all of which was paid at the end of each quarterly period. Deferred financing amortization for the three and nine months ended September 30, 2025 was $384 and $1,387,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18, 2025, the Company made a $75,000 partial prepayment on the outstanding principal amount under the Tranche A Loan. In conjunction with the partial prepayment, the Company incurred a $2,250 prepayment premium and paid $424 of interest accrued through the payment date. Additionally, unamortized deferred financing costs of $1,921 associated with the Tranche A Loan were written-off at the time of repayment. Collectively, the prepayment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p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 totaled $4,171 and were reflected as a one-time loss on extinguishment of debt in the Condensed Consolidated Statements of Comprehensive Income (Loss) for the nine months ended September 30,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24, 2025, the Company made a $50,000 partial prepayment on the outstanding principal amount under the Tranche A Loan. In conjunction with the partial prepayment, the Company incurred a $1,500 prepayment premium and fees of $52 and paid $376 of interest accrued through the payment date. Additionally, unamortized deferred financing costs of $1,188 associated with the Tranche A Loan were written-off at the time of repayment. Collectively, the prepayment and unamortized deferred financing costs totaled $2,740 and are reflected as a one-time loss on extinguishment of debt on the Condensed Consolidated Statements of Comprehensive Income (Loss) for the three and nine months ended September 30,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paid off in full the remainder of the outstanding principal balance on the Tranche A Loan of $198,704 as of September 30, 2025 in a final prepayment in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 xml:space="preserve">Note 9 </w:t>
      </w:r>
      <w:r>
        <w:rPr>
          <w:color w:val="000000"/>
        </w:rPr>
        <w:t xml:space="preserve">— </w:t>
      </w:r>
      <w:r>
        <w:rPr>
          <w:rFonts w:ascii="Times New Roman;serif" w:hAnsi="Times New Roman;serif"/>
          <w:b/>
          <w:color w:val="000000"/>
          <w:sz w:val="20"/>
        </w:rPr>
        <w:t xml:space="preserve">Lease Obligations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assets under operating leases, which primarily consist of real estate leases, and finance leases, which generally consist of laboratory equipment leases and office equipment leases. The Company’s real estate agreements expire at various times between 2028 and 2033 and its Durham lease includes a five-year renewal option.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 expense under operating and finance leases was as follows:</w:t>
      </w:r>
    </w:p>
    <w:tbl>
      <w:tblPr>
        <w:tblW w:w="9365" w:type="dxa"/>
        <w:jc w:val="left"/>
        <w:tblInd w:w="0" w:type="dxa"/>
        <w:tblLayout w:type="fixed"/>
        <w:tblCellMar>
          <w:top w:w="28" w:type="dxa"/>
          <w:left w:w="28" w:type="dxa"/>
          <w:bottom w:w="28" w:type="dxa"/>
          <w:right w:w="28" w:type="dxa"/>
        </w:tblCellMar>
      </w:tblPr>
      <w:tblGrid>
        <w:gridCol w:w="1043"/>
        <w:gridCol w:w="916"/>
        <w:gridCol w:w="921"/>
        <w:gridCol w:w="346"/>
        <w:gridCol w:w="765"/>
        <w:gridCol w:w="179"/>
        <w:gridCol w:w="179"/>
        <w:gridCol w:w="179"/>
        <w:gridCol w:w="179"/>
        <w:gridCol w:w="346"/>
        <w:gridCol w:w="765"/>
        <w:gridCol w:w="179"/>
        <w:gridCol w:w="109"/>
        <w:gridCol w:w="109"/>
        <w:gridCol w:w="109"/>
        <w:gridCol w:w="286"/>
        <w:gridCol w:w="836"/>
        <w:gridCol w:w="147"/>
        <w:gridCol w:w="147"/>
        <w:gridCol w:w="147"/>
        <w:gridCol w:w="147"/>
        <w:gridCol w:w="286"/>
        <w:gridCol w:w="836"/>
        <w:gridCol w:w="209"/>
      </w:tblGrid>
      <w:t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 of use assets</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supplemental information related to leases was as follows:</w:t>
      </w:r>
    </w:p>
    <w:tbl>
      <w:tblPr>
        <w:tblW w:w="7241" w:type="dxa"/>
        <w:jc w:val="left"/>
        <w:tblInd w:w="0" w:type="dxa"/>
        <w:tblLayout w:type="fixed"/>
        <w:tblCellMar>
          <w:top w:w="28" w:type="dxa"/>
          <w:left w:w="28" w:type="dxa"/>
          <w:bottom w:w="28" w:type="dxa"/>
          <w:right w:w="28" w:type="dxa"/>
        </w:tblCellMar>
      </w:tblPr>
      <w:tblGrid>
        <w:gridCol w:w="1220"/>
        <w:gridCol w:w="1074"/>
        <w:gridCol w:w="1081"/>
        <w:gridCol w:w="394"/>
        <w:gridCol w:w="394"/>
        <w:gridCol w:w="982"/>
        <w:gridCol w:w="109"/>
        <w:gridCol w:w="109"/>
        <w:gridCol w:w="109"/>
        <w:gridCol w:w="360"/>
        <w:gridCol w:w="360"/>
        <w:gridCol w:w="1049"/>
      </w:tblGrid>
      <w:t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years</w:t>
            </w:r>
          </w:p>
        </w:tc>
      </w:tr>
      <w:t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r>
      <w:t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September 30, 2026 are as follows: </w:t>
      </w:r>
    </w:p>
    <w:tbl>
      <w:tblPr>
        <w:tblW w:w="5200" w:type="dxa"/>
        <w:jc w:val="left"/>
        <w:tblInd w:w="0" w:type="dxa"/>
        <w:tblLayout w:type="fixed"/>
        <w:tblCellMar>
          <w:top w:w="28" w:type="dxa"/>
          <w:left w:w="28" w:type="dxa"/>
          <w:bottom w:w="28" w:type="dxa"/>
          <w:right w:w="28" w:type="dxa"/>
        </w:tblCellMar>
      </w:tblPr>
      <w:tblGrid>
        <w:gridCol w:w="668"/>
        <w:gridCol w:w="586"/>
        <w:gridCol w:w="591"/>
        <w:gridCol w:w="358"/>
        <w:gridCol w:w="1046"/>
        <w:gridCol w:w="185"/>
        <w:gridCol w:w="109"/>
        <w:gridCol w:w="109"/>
        <w:gridCol w:w="109"/>
        <w:gridCol w:w="309"/>
        <w:gridCol w:w="904"/>
        <w:gridCol w:w="226"/>
      </w:tblGrid>
      <w:t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11,051 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9,261 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10205" w:type="dxa"/>
        <w:jc w:val="left"/>
        <w:tblInd w:w="0" w:type="dxa"/>
        <w:tblLayout w:type="fixed"/>
        <w:tblCellMar>
          <w:top w:w="28" w:type="dxa"/>
          <w:left w:w="28" w:type="dxa"/>
          <w:bottom w:w="28" w:type="dxa"/>
          <w:right w:w="28" w:type="dxa"/>
        </w:tblCellMar>
      </w:tblPr>
      <w:tblGrid>
        <w:gridCol w:w="2663"/>
        <w:gridCol w:w="2311"/>
        <w:gridCol w:w="2323"/>
        <w:gridCol w:w="265"/>
        <w:gridCol w:w="858"/>
        <w:gridCol w:w="137"/>
        <w:gridCol w:w="137"/>
        <w:gridCol w:w="137"/>
        <w:gridCol w:w="137"/>
        <w:gridCol w:w="265"/>
        <w:gridCol w:w="775"/>
        <w:gridCol w:w="197"/>
      </w:tblGrid>
      <w:tr>
        <w:tc>
          <w:tcPr>
            <w:tcW w:w="266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7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7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obtained in exchange for finance lease liabilities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(decrease) increase to operating lease assets due to remeasurement of operating lease liabilities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decrease to finance lease assets due to remeasurement of finance lease liabilities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 xml:space="preserve">Note 10 </w:t>
      </w:r>
      <w:r>
        <w:rPr>
          <w:color w:val="000000"/>
        </w:rPr>
        <w:t xml:space="preserve">— </w:t>
      </w:r>
      <w:r>
        <w:rPr>
          <w:rFonts w:ascii="Times New Roman;serif" w:hAnsi="Times New Roman;serif"/>
          <w:b/>
          <w:color w:val="000000"/>
          <w:sz w:val="20"/>
        </w:rPr>
        <w:t>Stockholders</w:t>
      </w:r>
      <w:r>
        <w:rPr>
          <w:color w:val="000000"/>
        </w:rPr>
        <w:t xml:space="preserve">’ </w:t>
      </w:r>
      <w:r>
        <w:rPr>
          <w:rFonts w:ascii="Times New Roman;serif" w:hAnsi="Times New Roman;serif"/>
          <w:b/>
          <w:color w:val="000000"/>
          <w:sz w:val="20"/>
        </w:rPr>
        <w:t>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Issuance of Common Stock</w:t>
      </w:r>
    </w:p>
    <w:p>
      <w:pPr>
        <w:pStyle w:val="TextBody"/>
        <w:bidi w:val="0"/>
        <w:spacing w:lineRule="auto" w:line="288" w:before="240" w:after="283"/>
        <w:ind w:left="0" w:right="0" w:firstLine="540"/>
        <w:jc w:val="left"/>
      </w:pPr>
      <w:r>
        <w:rPr>
          <w:rFonts w:ascii="Times New Roman;serif" w:hAnsi="Times New Roman;serif"/>
          <w:b w:val="false"/>
          <w:color w:val="000000"/>
          <w:sz w:val="20"/>
        </w:rPr>
        <w:t>On November 20, 2025, the Company filed with the SEC, and amended on December 15, 2025, a registration statement on Form S-4. This registration statement was declared effective by the SEC on December 18, 2025 and registered the Company’s offer of up to 45,000 shares of the Company’s common stock in connection with the Merger (as defined in “</w:t>
      </w:r>
      <w:r>
        <w:rPr>
          <w:rFonts w:ascii="Times New Roman;serif" w:hAnsi="Times New Roman;serif"/>
          <w:b w:val="false"/>
          <w:i/>
          <w:color w:val="000000"/>
          <w:sz w:val="20"/>
        </w:rPr>
        <w:t>Note 2—Acquisition of Astria Therapeutics, Inc.”</w:t>
      </w:r>
      <w:r>
        <w:rPr>
          <w:color w:val="000000"/>
        </w:rPr>
        <w:t xml:space="preserve"> </w:t>
      </w:r>
      <w:r>
        <w:rPr>
          <w:rFonts w:ascii="Times New Roman;serif" w:hAnsi="Times New Roman;serif"/>
          <w:b w:val="false"/>
          <w:color w:val="000000"/>
          <w:sz w:val="20"/>
        </w:rPr>
        <w:t>herein).</w:t>
      </w:r>
    </w:p>
    <w:p>
      <w:pPr>
        <w:pStyle w:val="TextBody"/>
        <w:bidi w:val="0"/>
        <w:spacing w:lineRule="auto" w:line="288" w:before="240" w:after="283"/>
        <w:ind w:left="0" w:right="0" w:firstLine="540"/>
        <w:jc w:val="left"/>
      </w:pPr>
      <w:r>
        <w:rPr>
          <w:rFonts w:ascii="Times New Roman;serif" w:hAnsi="Times New Roman;serif"/>
          <w:b w:val="false"/>
          <w:color w:val="000000"/>
          <w:sz w:val="20"/>
        </w:rPr>
        <w:t>On January 23, 2026, the Company issued 37,282 shares of common stock to Astria’s equity holders in connection with the Merger (see “</w:t>
      </w:r>
      <w:r>
        <w:rPr>
          <w:rFonts w:ascii="Times New Roman;serif" w:hAnsi="Times New Roman;serif"/>
          <w:b w:val="false"/>
          <w:i/>
          <w:color w:val="000000"/>
          <w:sz w:val="20"/>
        </w:rPr>
        <w:t>Note 2—Acquisition of Astria Therapeutics, Inc.”</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 of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w:t>
      </w:r>
    </w:p>
    <w:tbl>
      <w:tblPr>
        <w:tblW w:w="10205" w:type="dxa"/>
        <w:jc w:val="left"/>
        <w:tblInd w:w="0" w:type="dxa"/>
        <w:tblLayout w:type="fixed"/>
        <w:tblCellMar>
          <w:top w:w="28" w:type="dxa"/>
          <w:left w:w="28" w:type="dxa"/>
          <w:bottom w:w="28" w:type="dxa"/>
          <w:right w:w="28" w:type="dxa"/>
        </w:tblCellMar>
      </w:tblPr>
      <w:tblGrid>
        <w:gridCol w:w="2312"/>
        <w:gridCol w:w="2033"/>
        <w:gridCol w:w="2039"/>
        <w:gridCol w:w="582"/>
        <w:gridCol w:w="580"/>
        <w:gridCol w:w="582"/>
        <w:gridCol w:w="109"/>
        <w:gridCol w:w="109"/>
        <w:gridCol w:w="109"/>
        <w:gridCol w:w="513"/>
        <w:gridCol w:w="509"/>
        <w:gridCol w:w="728"/>
      </w:tblGrid>
      <w:tr>
        <w:tc>
          <w:tcPr>
            <w:tcW w:w="2312"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c>
          <w:tcPr>
            <w:tcW w:w="6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6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exercises of outstanding stock options</w:t>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36,434 </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43,344 </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vesting of restricted stock units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12,172 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Stock Incentive Plan</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15,785 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6,852 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reserved for future issuance under the Inducement Equity Incentive Plan </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Employee Stock Purchase Plan</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reserved for future issuance</w:t>
            </w:r>
          </w:p>
        </w:tc>
        <w:tc>
          <w:tcPr>
            <w:tcW w:w="116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69,719 </w:t>
            </w:r>
          </w:p>
        </w:tc>
        <w:tc>
          <w:tcPr>
            <w:tcW w:w="5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68,496 </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 xml:space="preserve">Note 11 </w:t>
      </w:r>
      <w:r>
        <w:rPr>
          <w:color w:val="000000"/>
        </w:rPr>
        <w:t xml:space="preserve">— </w:t>
      </w:r>
      <w:r>
        <w:rPr>
          <w:rFonts w:ascii="Times New Roman;serif" w:hAnsi="Times New Roman;serif"/>
          <w:b/>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20, 2026 and approved by the Company’s stockholders on June 11, 2026. The Inducement Plan was most recently amended and restated by the Company’s Board of Directors on October 26, 2023. The ESPP was most recently amended and restated by the Company’s Board of Directors on July 7, 2023.</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stock-based compensation expense:</w:t>
      </w:r>
    </w:p>
    <w:tbl>
      <w:tblPr>
        <w:tblW w:w="10205" w:type="dxa"/>
        <w:jc w:val="left"/>
        <w:tblInd w:w="0" w:type="dxa"/>
        <w:tblLayout w:type="fixed"/>
        <w:tblCellMar>
          <w:top w:w="28" w:type="dxa"/>
          <w:left w:w="28" w:type="dxa"/>
          <w:bottom w:w="28" w:type="dxa"/>
          <w:right w:w="28" w:type="dxa"/>
        </w:tblCellMar>
      </w:tblPr>
      <w:tblGrid>
        <w:gridCol w:w="1498"/>
        <w:gridCol w:w="1301"/>
        <w:gridCol w:w="1246"/>
        <w:gridCol w:w="460"/>
        <w:gridCol w:w="338"/>
        <w:gridCol w:w="338"/>
        <w:gridCol w:w="218"/>
        <w:gridCol w:w="218"/>
        <w:gridCol w:w="218"/>
        <w:gridCol w:w="460"/>
        <w:gridCol w:w="338"/>
        <w:gridCol w:w="338"/>
        <w:gridCol w:w="109"/>
        <w:gridCol w:w="109"/>
        <w:gridCol w:w="109"/>
        <w:gridCol w:w="440"/>
        <w:gridCol w:w="338"/>
        <w:gridCol w:w="338"/>
        <w:gridCol w:w="207"/>
        <w:gridCol w:w="207"/>
        <w:gridCol w:w="207"/>
        <w:gridCol w:w="440"/>
        <w:gridCol w:w="298"/>
        <w:gridCol w:w="432"/>
      </w:tblGrid>
      <w:tr>
        <w:tc>
          <w:tcPr>
            <w:tcW w:w="149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Plan</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12,797</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40,421</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54,841</w:t>
            </w:r>
          </w:p>
        </w:tc>
      </w:tr>
      <w:t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Inducement Plan</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4,049</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5,852</w:t>
            </w:r>
          </w:p>
        </w:tc>
      </w:tr>
      <w:t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r>
      <w:t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costs</w:t>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44,963</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61,316</w:t>
            </w:r>
          </w:p>
        </w:tc>
      </w:tr>
      <w:t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costs</w:t>
            </w:r>
          </w:p>
        </w:tc>
        <w:tc>
          <w:tcPr>
            <w:tcW w:w="11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costs included in operating expenses</w:t>
            </w:r>
          </w:p>
        </w:tc>
        <w:tc>
          <w:tcPr>
            <w:tcW w:w="4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44,963</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61,273</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Extension of Exercise Period</w:t>
      </w:r>
    </w:p>
    <w:p>
      <w:pPr>
        <w:pStyle w:val="TextBody"/>
        <w:bidi w:val="0"/>
        <w:spacing w:lineRule="auto" w:line="276" w:before="240" w:after="283"/>
        <w:ind w:left="0" w:right="0" w:firstLine="540"/>
        <w:jc w:val="left"/>
      </w:pPr>
      <w:r>
        <w:rPr>
          <w:rFonts w:ascii="Times New Roman;serif" w:hAnsi="Times New Roman;serif"/>
          <w:b w:val="false"/>
          <w:color w:val="000000"/>
          <w:sz w:val="20"/>
        </w:rPr>
        <w:t xml:space="preserve">In December 2025, the Company extended the post-termination exercise period of certain vested stock option awards at the time of retirement for certain individuals to the original expiration date of the option awards. The Company considered this to be a modification of existing awards under ASC Topic 718, </w:t>
      </w:r>
      <w:r>
        <w:rPr>
          <w:rFonts w:ascii="Times New Roman;serif" w:hAnsi="Times New Roman;serif"/>
          <w:b w:val="false"/>
          <w:i/>
          <w:color w:val="000000"/>
          <w:sz w:val="20"/>
        </w:rPr>
        <w:t>Compensation - Stock Compensation</w:t>
      </w:r>
      <w:r>
        <w:rPr>
          <w:color w:val="000000"/>
        </w:rPr>
        <w:t xml:space="preserve"> </w:t>
      </w:r>
      <w:r>
        <w:rPr>
          <w:rFonts w:ascii="Times New Roman;serif" w:hAnsi="Times New Roman;serif"/>
          <w:b w:val="false"/>
          <w:color w:val="000000"/>
          <w:sz w:val="20"/>
        </w:rPr>
        <w:t>(“Topic 718”) and determined the incremental fair value associated with the modification using a binomial lattice model. In connection with the modification, the Company recognized incremental stock-based compensation expense of $1,891 and $8,323 during the three and nine months ended September 30, 2026, respectively.</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Sale of the European ORLADEYO Business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the European ORLADEYO business on October 1, 2025, the Company modified certain outstanding stock option awards and restricted stock unit awards held by employees who transferred to Neopharmed. Under the original terms of the Company’s Incentive Plan and Inducement Plan, unvested awards would have been forfeited upon the employees’ termination with the Company at closing. As part of the transaction, the Company approved modifications that (i) allowed previously unvested awards to continue to vest based on continued service to Neopharmed after closing and (ii) extended the post-termination exercise period for certain vested stock option awards.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modified awards vest, and for certain vested stock options remain exercisable, only if the employees remain employed by Neopharmed for specified periods following the closing of the transaction. Because the vesting of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modified awards depends on service to Neopharmed, the awards contain an “other” condition under Topic 718 and are therefore classified as liability awards until the required service to Neopharmed is provided.</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continued vesting of unvested awards as a Type III modification under Topic 718 and measured the awards at their modification-date fair value. The extension of the post-termination exercise period for certain vested stock option awards was accounted for as a Type I modification under Topic 718, with the incremental fair value measured on the modification date.</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liability for the modified awards is measured at fair value at each reporting period. The options are valued using a Black-Scholes option pricing model which incorporates significant unobservable inputs. This remeasurement resulted in the recognition of a gain of $2,986 and loss of $345 in other income, net in the Consolidated Statements of Comprehensive Income (Loss) for the three and nine months ended September 30, 2026, respectively, and a $536 increase and $144 decrease to additional paid-in capital during the three and nine months ended September 30, 2026, respectively. </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beginning and ending balances of recurring fair value measurements recognized in the Condensed Consolidated Balance Sheets using Level 3 inputs:</w:t>
      </w:r>
    </w:p>
    <w:tbl>
      <w:tblPr>
        <w:tblW w:w="4401" w:type="dxa"/>
        <w:jc w:val="left"/>
        <w:tblInd w:w="0" w:type="dxa"/>
        <w:tblLayout w:type="fixed"/>
        <w:tblCellMar>
          <w:top w:w="28" w:type="dxa"/>
          <w:left w:w="28" w:type="dxa"/>
          <w:bottom w:w="28" w:type="dxa"/>
          <w:right w:w="28" w:type="dxa"/>
        </w:tblCellMar>
      </w:tblPr>
      <w:tblGrid>
        <w:gridCol w:w="1200"/>
        <w:gridCol w:w="1054"/>
        <w:gridCol w:w="1061"/>
        <w:gridCol w:w="211"/>
        <w:gridCol w:w="721"/>
        <w:gridCol w:w="154"/>
      </w:tblGrid>
      <w:t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share-based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share-based liability</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share-based liability</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Incentive Plan:</w:t>
      </w:r>
    </w:p>
    <w:tbl>
      <w:tblPr>
        <w:tblW w:w="10205" w:type="dxa"/>
        <w:jc w:val="left"/>
        <w:tblInd w:w="0" w:type="dxa"/>
        <w:tblLayout w:type="fixed"/>
        <w:tblCellMar>
          <w:top w:w="28" w:type="dxa"/>
          <w:left w:w="28" w:type="dxa"/>
          <w:bottom w:w="28" w:type="dxa"/>
          <w:right w:w="28" w:type="dxa"/>
        </w:tblCellMar>
      </w:tblPr>
      <w:tblGrid>
        <w:gridCol w:w="690"/>
        <w:gridCol w:w="605"/>
        <w:gridCol w:w="609"/>
        <w:gridCol w:w="413"/>
        <w:gridCol w:w="360"/>
        <w:gridCol w:w="362"/>
        <w:gridCol w:w="109"/>
        <w:gridCol w:w="109"/>
        <w:gridCol w:w="109"/>
        <w:gridCol w:w="541"/>
        <w:gridCol w:w="1313"/>
        <w:gridCol w:w="282"/>
        <w:gridCol w:w="109"/>
        <w:gridCol w:w="109"/>
        <w:gridCol w:w="109"/>
        <w:gridCol w:w="810"/>
        <w:gridCol w:w="810"/>
        <w:gridCol w:w="812"/>
        <w:gridCol w:w="109"/>
        <w:gridCol w:w="109"/>
        <w:gridCol w:w="109"/>
        <w:gridCol w:w="312"/>
        <w:gridCol w:w="1070"/>
        <w:gridCol w:w="235"/>
      </w:tblGrid>
      <w:t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38,664 </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11,617 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2026</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33,063 </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36,712 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2026</w:t>
            </w:r>
          </w:p>
        </w:tc>
        <w:tc>
          <w:tcPr>
            <w:tcW w:w="7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20,968 </w:t>
            </w:r>
          </w:p>
        </w:tc>
        <w:tc>
          <w:tcPr>
            <w:tcW w:w="3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8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24,347 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Incentive Plan:</w:t>
      </w:r>
    </w:p>
    <w:tbl>
      <w:tblPr>
        <w:tblW w:w="8021" w:type="dxa"/>
        <w:jc w:val="left"/>
        <w:tblInd w:w="0" w:type="dxa"/>
        <w:tblLayout w:type="fixed"/>
        <w:tblCellMar>
          <w:top w:w="28" w:type="dxa"/>
          <w:left w:w="28" w:type="dxa"/>
          <w:bottom w:w="28" w:type="dxa"/>
          <w:right w:w="28" w:type="dxa"/>
        </w:tblCellMar>
      </w:tblPr>
      <w:tblGrid>
        <w:gridCol w:w="994"/>
        <w:gridCol w:w="872"/>
        <w:gridCol w:w="879"/>
        <w:gridCol w:w="424"/>
        <w:gridCol w:w="424"/>
        <w:gridCol w:w="426"/>
        <w:gridCol w:w="109"/>
        <w:gridCol w:w="109"/>
        <w:gridCol w:w="109"/>
        <w:gridCol w:w="883"/>
        <w:gridCol w:w="2142"/>
        <w:gridCol w:w="650"/>
      </w:tblGrid>
      <w:t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11,141 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2026</w:t>
            </w:r>
          </w:p>
        </w:tc>
        <w:tc>
          <w:tcPr>
            <w:tcW w:w="8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10,723 </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Incentive Plan, the fair value of the awards is determined based on the market value of the Company’s shares on the grant date. The weighted average grant date fair value of these awards granted during the nine months ended September 30, 2026 and 2025 was $8.60 and $9.17, respectively. The fair value of the restricted stock unit awards is amortized to expense over the vesting periods using a straight-line expense attribution method.</w:t>
      </w:r>
    </w:p>
    <w:p>
      <w:pPr>
        <w:pStyle w:val="TextBody"/>
        <w:bidi w:val="0"/>
        <w:spacing w:lineRule="auto" w:line="288" w:before="200" w:after="283"/>
        <w:jc w:val="left"/>
      </w:pPr>
      <w:r>
        <w:rPr>
          <w:rFonts w:ascii="Times New Roman;serif" w:hAnsi="Times New Roman;serif"/>
          <w:b/>
          <w:i/>
          <w:color w:val="000000"/>
          <w:sz w:val="20"/>
        </w:rPr>
        <w:t>Inducement Equity Incentive Plan</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Inducement Plan:</w:t>
      </w:r>
    </w:p>
    <w:tbl>
      <w:tblPr>
        <w:tblW w:w="10205" w:type="dxa"/>
        <w:jc w:val="left"/>
        <w:tblInd w:w="0" w:type="dxa"/>
        <w:tblLayout w:type="fixed"/>
        <w:tblCellMar>
          <w:top w:w="28" w:type="dxa"/>
          <w:left w:w="28" w:type="dxa"/>
          <w:bottom w:w="28" w:type="dxa"/>
          <w:right w:w="28" w:type="dxa"/>
        </w:tblCellMar>
      </w:tblPr>
      <w:tblGrid>
        <w:gridCol w:w="696"/>
        <w:gridCol w:w="610"/>
        <w:gridCol w:w="614"/>
        <w:gridCol w:w="362"/>
        <w:gridCol w:w="361"/>
        <w:gridCol w:w="363"/>
        <w:gridCol w:w="109"/>
        <w:gridCol w:w="109"/>
        <w:gridCol w:w="109"/>
        <w:gridCol w:w="547"/>
        <w:gridCol w:w="1328"/>
        <w:gridCol w:w="285"/>
        <w:gridCol w:w="109"/>
        <w:gridCol w:w="109"/>
        <w:gridCol w:w="109"/>
        <w:gridCol w:w="819"/>
        <w:gridCol w:w="819"/>
        <w:gridCol w:w="821"/>
        <w:gridCol w:w="109"/>
        <w:gridCol w:w="109"/>
        <w:gridCol w:w="109"/>
        <w:gridCol w:w="341"/>
        <w:gridCol w:w="1000"/>
        <w:gridCol w:w="258"/>
      </w:tblGrid>
      <w:t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2026</w:t>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2026</w:t>
            </w:r>
          </w:p>
        </w:tc>
        <w:tc>
          <w:tcPr>
            <w:tcW w:w="72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3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Inducement Plan:</w:t>
      </w:r>
    </w:p>
    <w:tbl>
      <w:tblPr>
        <w:tblW w:w="8021" w:type="dxa"/>
        <w:jc w:val="left"/>
        <w:tblInd w:w="0" w:type="dxa"/>
        <w:tblLayout w:type="fixed"/>
        <w:tblCellMar>
          <w:top w:w="28" w:type="dxa"/>
          <w:left w:w="28" w:type="dxa"/>
          <w:bottom w:w="28" w:type="dxa"/>
          <w:right w:w="28" w:type="dxa"/>
        </w:tblCellMar>
      </w:tblPr>
      <w:tblGrid>
        <w:gridCol w:w="994"/>
        <w:gridCol w:w="872"/>
        <w:gridCol w:w="879"/>
        <w:gridCol w:w="424"/>
        <w:gridCol w:w="424"/>
        <w:gridCol w:w="426"/>
        <w:gridCol w:w="109"/>
        <w:gridCol w:w="109"/>
        <w:gridCol w:w="109"/>
        <w:gridCol w:w="883"/>
        <w:gridCol w:w="2142"/>
        <w:gridCol w:w="650"/>
      </w:tblGrid>
      <w:t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2026</w:t>
            </w:r>
          </w:p>
        </w:tc>
        <w:tc>
          <w:tcPr>
            <w:tcW w:w="8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Inducement Plan, the fair value of the awards is determined based on the market value of the Company’s shares on the grant date. The weighted average grant date fair value of these awards granted during the nine months ended September 30, 2026 and 2025 was $7.96 and $8.47, respectively. The fair value of the restricted stock unit awards is amortized to expense over the vesting periods using a straight-line expense attribution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Collaborative and Other Relationships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Navenibart</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Kaken Pharmaceutical Co., Ltd. (“Kaken”)</w:t>
      </w:r>
    </w:p>
    <w:p>
      <w:pPr>
        <w:pStyle w:val="TextBody"/>
        <w:bidi w:val="0"/>
        <w:spacing w:lineRule="auto" w:line="288" w:before="200" w:after="283"/>
        <w:ind w:left="0" w:right="0" w:firstLine="540"/>
        <w:jc w:val="left"/>
      </w:pPr>
      <w:r>
        <w:rPr>
          <w:rFonts w:ascii="Times New Roman;serif" w:hAnsi="Times New Roman;serif"/>
          <w:b w:val="false"/>
          <w:color w:val="000000"/>
          <w:sz w:val="20"/>
        </w:rPr>
        <w:t>On August 6, 2025, Astria, which became a wholly owned subsidiary of the Company on January 23, 2026 (see “</w:t>
      </w:r>
      <w:r>
        <w:rPr>
          <w:rFonts w:ascii="Times New Roman;serif" w:hAnsi="Times New Roman;serif"/>
          <w:b w:val="false"/>
          <w:i/>
          <w:color w:val="000000"/>
          <w:sz w:val="20"/>
        </w:rPr>
        <w:t>Note 2—Acquisition of Astria Therapeutics, Inc.</w:t>
      </w:r>
      <w:r>
        <w:rPr>
          <w:color w:val="000000"/>
        </w:rPr>
        <w:t>”</w:t>
      </w:r>
      <w:r>
        <w:rPr>
          <w:rFonts w:ascii="Times New Roman;serif" w:hAnsi="Times New Roman;serif"/>
          <w:b w:val="false"/>
          <w:color w:val="000000"/>
          <w:sz w:val="20"/>
        </w:rPr>
        <w:t>), entered into a license agreement with Kaken (the “Kaken License Agreement”), granting Kaken an exclusive license to develop, package, and commercialize navenibart (the “Navenibart Licensed Product in Japan”) for the prevention of HAE attacks in Japan. The Kaken License Agreement included an upfront payment of $16,000, potential commercialization and sales milestone payments of $16,000, and tiered royalties ranging from 15% to 30% of annual net sales of the Navenibart Licensed Product in Japan. Under the terms of the Kaken License Agreement, Kaken will also provide support for the Phase 3 trial in Japan, is responsible for regulatory submissions in Japan, and will provide reimbursement for a portion of the costs associated with the navenibart Phase 3 program.</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Topic 606, two performance obligations were identified under the Kaken License Agreement: (i) the performance of research and development services and (ii) the delivery of the license. The Company re-evaluates the transaction price at the end of each reporting period and adjusts the estimate as changes in circumstances occur. As of September 30, 2026, the estimated transaction price was determined to be approximately $18,321, consisting of fixed consideration of $16,000 related to the upfront payment and variable consideration of $2,321 related to the estimated reimbursement of research and development services. Variable consideration is estimated each reporting period using the expected value method based on the most current forecasts. Potential milestone payments and sales-based royalties were excluded from the transaction price as they were constrained and will be recognized if and when the related milestones or sales occur.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Company allocated $15,921 of the transaction price to the research and development services and the remaining $2,400 was allocated to delivery of the license. The fixed consideration was allocated to the performance obligations based on their relative standalone selling prices. The variable consideration was allocated to the performance obligation to which it is determined to be related, which is the reimbursement of research and development services to be incurred.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allocated to the research and development services is recognized over time using an input method based on costs incurred. Revenue allocated to the license will be recognized at the point in time at which control of the Navenibart Licensed Product in Japan is transferred to Kaken. During the three and nine months ended September 30, 2026, the Company recognized $1,635 and $4,089 of revenue related to the Kaken License Agreement, respectively, in license and other revenues in the Condensed Consolidated Statements of Comprehensive Income (Loss). As of September 30, 2026, the deferred revenue related to the upfront payment and cost-sharing reimbursements was $10,105, of which $4,117 is classified as current and $5,988 is classified as non-current in the Condensed Consolidated Balance Sheet.</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Neopharmed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4, 2026, the Company announced that it entered into a license agreement with an Irish affiliate of Neopharmed (the “Neopharmed License Agreement”) granting Neopharmed exclusive rights to commercialize navenibart for the prevention of HAE attacks in specified territories in Europe (the “Navenibart Licensed Product in Europe”). The Neopharmed License Agreement included an upfront payment of $70,000, potential regulatory and sales milestone payments of $275,000, and tiered royalties ranging from 18% to 30% of annual net sales of the Navenibart Licensed Product in Europe.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Topic 606, two performance obligations were identified under the Neopharmed License Agreement: (i) the delivery of the license and (ii) the performance of research and development services. The Company re-evaluates the transaction price at the end of each reporting period and adjusts the estimate as changes in circumstances occur. As of September 30, 2026, the estimated transaction price was determined to be $70,000, consisting of the upfront payment. Potential milestone payments and sales-based royalties were excluded from the transaction price as they were fully constrained and will be recognized if and when the related milestones or sales occur.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allocated $54,513 of the transaction price to the delivery of the license and the remaining $15,487 was allocated to the research and development services. The transaction price was allocated to the performance obligations based on their relative standalone selling prices.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allocated to the license was recognized upon execution of the Neopharmed License Agreement, when control of the Navenibart Licensed Product in Europe transferred to Neopharmed. Revenue allocated to the research and development services is recognized over time using an input method based on costs incurred. During the three months ended September 30, 2026, the Company recognized $2,228 of revenue related to the performance of research and development services. During the nine months ended September 30, 2026, the Company recognized $57,957 of revenue, comprised of $54,513 related to the delivery of the license and $3,444 related to the performance of research and development services. Revenue recognized under the Neopharmed License Agreement is reflected in license and other revenues in the Condensed Consolidated Statements of Comprehensive Income (Loss). As of September 30, 2026, the deferred revenue related to the upfront payment was $12,044, of which $6,418 is classified as current and $5,626 is classified as non-current in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pPr>
      <w:r>
        <w:rPr>
          <w:rFonts w:ascii="Times New Roman;serif" w:hAnsi="Times New Roman;serif"/>
          <w:b/>
          <w:color w:val="000000"/>
          <w:sz w:val="20"/>
        </w:rPr>
        <w:t xml:space="preserve">Note 13 </w:t>
      </w:r>
      <w:r>
        <w:rPr>
          <w:color w:val="000000"/>
        </w:rPr>
        <w:t xml:space="preserve">— </w:t>
      </w:r>
      <w:r>
        <w:rPr>
          <w:rFonts w:ascii="Times New Roman;serif" w:hAnsi="Times New Roman;serif"/>
          <w:b/>
          <w:color w:val="000000"/>
          <w:sz w:val="20"/>
        </w:rPr>
        <w:t>Workforce Reduction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2026 Workforce Reduction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2026, the Company notified employees impacted by a workforce reduction. The majority of the impacted employees had termination dates in October 2026, with certain employees having termination dates in the first quarter of 2027. </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recognized $3,374 of costs related to this workforce reduction during the three and nine months ended September 30, 2026, of which $665 was recognized in research and development expenses and $2,709 was recognized in selling, general and administrative expenses in the Condensed Consolidated Statements of Comprehensive Income (Loss). The following table summarizes the accrued liability activity recorded in connection with the workforce reduction for the three months ended September 30, 2026:</w:t>
      </w:r>
    </w:p>
    <w:tbl>
      <w:tblPr>
        <w:tblW w:w="8421" w:type="dxa"/>
        <w:jc w:val="left"/>
        <w:tblInd w:w="0" w:type="dxa"/>
        <w:tblLayout w:type="fixed"/>
        <w:tblCellMar>
          <w:top w:w="28" w:type="dxa"/>
          <w:left w:w="28" w:type="dxa"/>
          <w:bottom w:w="28" w:type="dxa"/>
          <w:right w:w="28" w:type="dxa"/>
        </w:tblCellMar>
      </w:tblPr>
      <w:tblGrid>
        <w:gridCol w:w="2697"/>
        <w:gridCol w:w="2363"/>
        <w:gridCol w:w="2380"/>
        <w:gridCol w:w="211"/>
        <w:gridCol w:w="616"/>
        <w:gridCol w:w="154"/>
      </w:tblGrid>
      <w:tr>
        <w:tc>
          <w:tcPr>
            <w:tcW w:w="2697"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 expense recorded during the three months ended September 30,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September 30,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any additional significant costs related to this workforce reduction. The remaining unpaid costs are expected to be disbursed by September 30, 2027.</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2025 Workforce Reduction</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notified employees impacted by a workforce reduction. The majority of the impacted employees had termination dates in December 2025, and certain employees had termination dates in the first quarter of 2026. </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recognized $6,314 of costs related to the workforce reduction during the year ended December 31, 2025. As of September 30, 2026, all of the costs were paid and the Company does not expect to incur any additional significant costs related to this workforce reduction.</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accrued liability activity recorded in connection with the workforce reduction for the nine months ended September 30, 2026:</w:t>
      </w:r>
    </w:p>
    <w:tbl>
      <w:tblPr>
        <w:tblW w:w="6426" w:type="dxa"/>
        <w:jc w:val="left"/>
        <w:tblInd w:w="0" w:type="dxa"/>
        <w:tblLayout w:type="fixed"/>
        <w:tblCellMar>
          <w:top w:w="28" w:type="dxa"/>
          <w:left w:w="28" w:type="dxa"/>
          <w:bottom w:w="28" w:type="dxa"/>
          <w:right w:w="28" w:type="dxa"/>
        </w:tblCellMar>
      </w:tblPr>
      <w:tblGrid>
        <w:gridCol w:w="1971"/>
        <w:gridCol w:w="1732"/>
        <w:gridCol w:w="1742"/>
        <w:gridCol w:w="211"/>
        <w:gridCol w:w="616"/>
        <w:gridCol w:w="154"/>
      </w:tblGrid>
      <w:tr>
        <w:tc>
          <w:tcPr>
            <w:tcW w:w="197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March 31,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June 30, 2026</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September 30, 2026</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left"/>
      </w:pPr>
      <w:r>
        <w:rPr>
          <w:rFonts w:ascii="Times New Roman;serif" w:hAnsi="Times New Roman;serif"/>
          <w:b/>
          <w:color w:val="000000"/>
          <w:sz w:val="20"/>
        </w:rPr>
        <w:t xml:space="preserve">Note 14 </w:t>
      </w:r>
      <w:r>
        <w:rPr>
          <w:color w:val="000000"/>
        </w:rPr>
        <w:t xml:space="preserve">— </w:t>
      </w:r>
      <w:r>
        <w:rPr>
          <w:rFonts w:ascii="Times New Roman;serif" w:hAnsi="Times New Roman;serif"/>
          <w:b/>
          <w:color w:val="000000"/>
          <w:sz w:val="20"/>
        </w:rPr>
        <w:t>Segment Information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reportable and operating segment, centered around its commercialized product, ORLADEYO, and its pipeline with the goal of developing first-in-class or best-in-class oral small-molecule and injectable protein therapeutics to target a range of rare diseases. The determination of a single segment is consistent with the consolidated financial information regularly provided to the Company’s chief operating decision maker (“CODM”). The Chief Executive Officer, as the CODM, uses consolidated, single-segment financial information for purposes of evaluating performance, making operating decisions, allocating resources, and planning and forecasting for future periods.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CODM assesses performance and decides how to allocate resources based on consolidated net income (loss). This measure is used to monitor budget versus actual results to evaluate the performance of the segment. The CODM uses consolidated cash, cash equivalents and investments as the measure of segment assets. As of September 30, 2026 and December 31, 2025, the Company’s cash, cash equivalents, and investments were $374,998 and $335,911,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information about segment revenues, significant segment expenses, and segment net income (loss)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1570"/>
        <w:gridCol w:w="1224"/>
        <w:gridCol w:w="1232"/>
        <w:gridCol w:w="236"/>
        <w:gridCol w:w="927"/>
        <w:gridCol w:w="121"/>
        <w:gridCol w:w="121"/>
        <w:gridCol w:w="121"/>
        <w:gridCol w:w="121"/>
        <w:gridCol w:w="236"/>
        <w:gridCol w:w="927"/>
        <w:gridCol w:w="121"/>
        <w:gridCol w:w="109"/>
        <w:gridCol w:w="109"/>
        <w:gridCol w:w="109"/>
        <w:gridCol w:w="225"/>
        <w:gridCol w:w="943"/>
        <w:gridCol w:w="116"/>
        <w:gridCol w:w="116"/>
        <w:gridCol w:w="116"/>
        <w:gridCol w:w="116"/>
        <w:gridCol w:w="225"/>
        <w:gridCol w:w="885"/>
        <w:gridCol w:w="179"/>
      </w:tblGrid>
      <w:tr>
        <w:tc>
          <w:tcPr>
            <w:tcW w:w="157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4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180,292 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159,395 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554,955 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468,282 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Less</w:t>
            </w:r>
            <w:r>
              <w:rPr>
                <w:rFonts w:ascii="Times New Roman;serif" w:hAnsi="Times New Roman;serif"/>
                <w:b/>
                <w:color w:val="000000"/>
                <w:sz w:val="13"/>
              </w:rPr>
              <w:t>1</w:t>
            </w:r>
            <w:r>
              <w:rPr>
                <w:rFonts w:ascii="Times New Roman;serif" w:hAnsi="Times New Roman;serif"/>
                <w:b/>
                <w:color w:val="000000"/>
                <w:sz w:val="2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697,761 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(excluding stock-based compensation)</w:t>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Navenibart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114,626 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137,373 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78,594 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net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net income (loss)</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pPr>
            <w:r>
              <w:rPr>
                <w:rFonts w:ascii="Times New Roman;serif" w:hAnsi="Times New Roman;serif"/>
                <w:b/>
                <w:color w:val="000000"/>
                <w:sz w:val="20"/>
              </w:rPr>
              <w:t>37,916</w:t>
            </w:r>
            <w:r>
              <w:rPr>
                <w:color w:val="000000"/>
              </w:rPr>
              <w:t>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pPr>
            <w:r>
              <w:rPr>
                <w:rFonts w:ascii="Times New Roman;serif" w:hAnsi="Times New Roman;serif"/>
                <w:b/>
                <w:color w:val="000000"/>
                <w:sz w:val="20"/>
              </w:rPr>
              <w:t>12,899</w:t>
            </w:r>
            <w:r>
              <w:rPr>
                <w:color w:val="000000"/>
              </w:rPr>
              <w:t>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(605,501)</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pPr>
            <w:r>
              <w:rPr>
                <w:rFonts w:ascii="Times New Roman;serif" w:hAnsi="Times New Roman;serif"/>
                <w:b/>
                <w:color w:val="000000"/>
                <w:sz w:val="20"/>
              </w:rPr>
              <w:t>18,016</w:t>
            </w:r>
            <w:r>
              <w:rPr>
                <w:color w:val="000000"/>
              </w:rPr>
              <w:t>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 xml:space="preserve">1 </w:t>
            </w:r>
            <w:r>
              <w:rPr>
                <w:rFonts w:ascii="Times New Roman;serif" w:hAnsi="Times New Roman;serif"/>
                <w:b w:val="false"/>
                <w:color w:val="000000"/>
                <w:sz w:val="18"/>
              </w:rPr>
              <w:t>The significant expense categories and amounts align with the segment-level information that is regularly provided to the CODM.</w:t>
            </w:r>
          </w:p>
        </w:tc>
      </w:tr>
    </w:tbl>
    <w:p>
      <w:pPr>
        <w:pStyle w:val="TextBody"/>
        <w:bidi w:val="0"/>
        <w:spacing w:lineRule="auto" w:line="288" w:before="200" w:after="283"/>
        <w:jc w:val="left"/>
      </w:pPr>
      <w:r>
        <w:rPr>
          <w:rFonts w:ascii="Times New Roman;serif" w:hAnsi="Times New Roman;serif"/>
          <w:b w:val="false"/>
          <w:color w:val="000000"/>
          <w:sz w:val="20"/>
        </w:rPr>
        <w:t>All material long-lived assets of the Company reside in the U.S. For geographic information about the Company’s product revenues, see “</w:t>
      </w:r>
      <w:r>
        <w:rPr>
          <w:rFonts w:ascii="Times New Roman;serif" w:hAnsi="Times New Roman;serif"/>
          <w:b w:val="false"/>
          <w:i/>
          <w:color w:val="000000"/>
          <w:sz w:val="20"/>
        </w:rPr>
        <w:t>Note 4—Revenue</w:t>
      </w:r>
      <w:r>
        <w:rPr>
          <w:color w:val="000000"/>
        </w:rPr>
        <w: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pPr>
      <w:r>
        <w:rPr>
          <w:rFonts w:ascii="Times New Roman;serif" w:hAnsi="Times New Roman;serif"/>
          <w:b/>
          <w:color w:val="000000"/>
          <w:sz w:val="20"/>
        </w:rPr>
        <w:t>Note 15</w:t>
      </w:r>
      <w:r>
        <w:rPr>
          <w:color w:val="000000"/>
        </w:rPr>
        <w:t xml:space="preserve"> — </w:t>
      </w:r>
      <w:r>
        <w:rPr>
          <w:rFonts w:ascii="Times New Roman;serif" w:hAnsi="Times New Roman;serif"/>
          <w:b/>
          <w:color w:val="000000"/>
          <w:sz w:val="20"/>
        </w:rPr>
        <w:t>Commitments and Contingencies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Abbreviated New Drug Application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received a Paragraph IV notice of certification (the “First Notice Letter”) from Annora Pharma Private Limited (“Annora”) regarding U.S. Patent Nos. 10,662,160; 11,117,867; and 11,618,733. In January 2026, the Company received an additional Paragraph IV notice of certification (the “Second Notice Letter” and, together with the First Notice Letter, the “Notice Letters”) from Annora regarding U.S. Patent No. 12,344,585. The Notice Letters advise that Annora has submitted an Abbreviated New Drug Application (“ANDA”) to the U.S. Food and Drug Administration (“FDA”) seeking approval to manufacture, use or sell a generic version of ORLADEYO in the United States prior to the expiration of four patents listed in the FDA’s Orange Book: U.S. Patent Nos. 10,662,160; 11,117,867; 11,618,733; and 12,344,585 (the “Challenged Patents”). The Notice Letters allege that the Challenged Patents, which expire in May 2040, are invalid, unenforceable and/or will not be infringed by the commercial manufacture, use or sale of the generic product described in Annora’s ANDA. The Notice Letters do not challenge the following six ORLADEYO Orange Book patents that expire in 2035: U.S. Patent Nos. 10,125,102; 10,329,260; 10,689,346; 11,230,530; 11,708,333; and 12,116,346.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(as supplemented by the First Amended Complaint filed in December 2025), the Company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The Company is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While the Company intends to vigorously defend its intellectual property rights protecting ORLADEYO, this matter is in the early stages of litigation and has been stayed until 2031, and no assessment can be made as to the likely outcome of this matter or whether it will be material to the Company. Accordingly, an estimate of the potential loss, or range of loss, if any, to the Company relating to this matter is not possible at this time.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Arrangements</w:t>
      </w:r>
    </w:p>
    <w:p>
      <w:pPr>
        <w:pStyle w:val="TextBody"/>
        <w:bidi w:val="0"/>
        <w:spacing w:lineRule="auto" w:line="288" w:before="240" w:after="283"/>
        <w:ind w:left="0" w:right="0" w:firstLine="540"/>
        <w:jc w:val="left"/>
      </w:pPr>
      <w:r>
        <w:rPr>
          <w:rFonts w:ascii="Times New Roman;serif" w:hAnsi="Times New Roman;serif"/>
          <w:b w:val="false"/>
          <w:color w:val="000000"/>
          <w:sz w:val="20"/>
        </w:rPr>
        <w:t>The Company has collaborative, licensing, and research and development services agreements in place for which it could be obligated to make payments upon certain developmental, regulatory, or commercial milestones, and future royalty payments, which would be reflected in the financial statements upon the occurrence of such contingent events. Except as disclosed in “</w:t>
      </w:r>
      <w:r>
        <w:rPr>
          <w:rFonts w:ascii="Times New Roman;serif" w:hAnsi="Times New Roman;serif"/>
          <w:b w:val="false"/>
          <w:i/>
          <w:color w:val="000000"/>
          <w:sz w:val="20"/>
        </w:rPr>
        <w:t>Note 12—Collaborative and Other Relationships</w:t>
      </w:r>
      <w:r>
        <w:rPr>
          <w:color w:val="000000"/>
        </w:rPr>
        <w:t>”</w:t>
      </w:r>
      <w:r>
        <w:rPr>
          <w:rFonts w:ascii="Times New Roman;serif" w:hAnsi="Times New Roman;serif"/>
          <w:b w:val="false"/>
          <w:color w:val="000000"/>
          <w:sz w:val="20"/>
        </w:rPr>
        <w:t>, there have been no changes to material arrangements during the nine months ended September 30, 2026 as compared to those disclosed in “</w:t>
      </w:r>
      <w:r>
        <w:rPr>
          <w:rFonts w:ascii="Times New Roman;serif" w:hAnsi="Times New Roman;serif"/>
          <w:b w:val="false"/>
          <w:i/>
          <w:color w:val="000000"/>
          <w:sz w:val="20"/>
        </w:rPr>
        <w:t>Note 16—Collaborative and Other Relationships</w:t>
      </w:r>
      <w:r>
        <w:rPr>
          <w:color w:val="000000"/>
        </w:rPr>
        <w:t xml:space="preserve">” </w:t>
      </w:r>
      <w:r>
        <w:rPr>
          <w:rFonts w:ascii="Times New Roman;serif" w:hAnsi="Times New Roman;serif"/>
          <w:b w:val="false"/>
          <w:color w:val="000000"/>
          <w:sz w:val="20"/>
        </w:rPr>
        <w:t>to the audited consolidated financial statements in the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pPr>
      <w:r>
        <w:rPr>
          <w:rFonts w:ascii="Times New Roman;serif" w:hAnsi="Times New Roman;serif"/>
          <w:b/>
          <w:color w:val="000000"/>
          <w:sz w:val="20"/>
        </w:rPr>
        <w:t>Note 16</w:t>
      </w:r>
      <w:r>
        <w:rPr>
          <w:color w:val="000000"/>
        </w:rPr>
        <w:t xml:space="preserve"> — </w:t>
      </w:r>
      <w:r>
        <w:rPr>
          <w:rFonts w:ascii="Times New Roman;serif" w:hAnsi="Times New Roman;serif"/>
          <w:b/>
          <w:color w:val="000000"/>
          <w:sz w:val="20"/>
        </w:rPr>
        <w:t>Net Income (Loss)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for the three and nine months ended September 30, 2026 and 2025 were calculated as follows:</w:t>
      </w:r>
    </w:p>
    <w:tbl>
      <w:tblPr>
        <w:tblW w:w="10205" w:type="dxa"/>
        <w:jc w:val="left"/>
        <w:tblInd w:w="0" w:type="dxa"/>
        <w:tblLayout w:type="fixed"/>
        <w:tblCellMar>
          <w:top w:w="28" w:type="dxa"/>
          <w:left w:w="28" w:type="dxa"/>
          <w:bottom w:w="28" w:type="dxa"/>
          <w:right w:w="28" w:type="dxa"/>
        </w:tblCellMar>
      </w:tblPr>
      <w:tblGrid>
        <w:gridCol w:w="1505"/>
        <w:gridCol w:w="1277"/>
        <w:gridCol w:w="1283"/>
        <w:gridCol w:w="254"/>
        <w:gridCol w:w="870"/>
        <w:gridCol w:w="131"/>
        <w:gridCol w:w="131"/>
        <w:gridCol w:w="131"/>
        <w:gridCol w:w="131"/>
        <w:gridCol w:w="254"/>
        <w:gridCol w:w="870"/>
        <w:gridCol w:w="131"/>
        <w:gridCol w:w="109"/>
        <w:gridCol w:w="109"/>
        <w:gridCol w:w="109"/>
        <w:gridCol w:w="234"/>
        <w:gridCol w:w="981"/>
        <w:gridCol w:w="120"/>
        <w:gridCol w:w="120"/>
        <w:gridCol w:w="120"/>
        <w:gridCol w:w="120"/>
        <w:gridCol w:w="234"/>
        <w:gridCol w:w="799"/>
        <w:gridCol w:w="182"/>
      </w:tblGrid>
      <w:tr>
        <w:tc>
          <w:tcPr>
            <w:tcW w:w="150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employee stock purchase plan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1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267,621 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218,349 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three and nine months ended September 30, 2025, the dilutive effect of outstanding stock options, restricted stock unit awards, and shares issuable under the employee stock purchase plan was calculated using the treasury method, whereby all such awards are assumed to be exercised at the beginning of the period. The hypothetical proceeds from such exercises, including the average unrecognized stock compensation expense for outstanding stock options, restricted stock units and shares issuable under the employee stock purchase plan, were assumed to be used to purchase outstanding common stock at the average price during the period. The net share impact of dilutive securities was added to the weighted average basic common shares outstanding to calculate weighted average diluted shares outstanding. The following table summarizes potential shares of common stock that were excluded from the computation of diluted net income (loss) per share as they were anti-dilutive for the three months ended September 30, 2026 and three and nine months ended September 30, 2025:</w:t>
      </w:r>
    </w:p>
    <w:tbl>
      <w:tblPr>
        <w:tblW w:w="5621" w:type="dxa"/>
        <w:jc w:val="left"/>
        <w:tblInd w:w="0" w:type="dxa"/>
        <w:tblLayout w:type="fixed"/>
        <w:tblCellMar>
          <w:top w:w="28" w:type="dxa"/>
          <w:left w:w="28" w:type="dxa"/>
          <w:bottom w:w="28" w:type="dxa"/>
          <w:right w:w="28" w:type="dxa"/>
        </w:tblCellMar>
      </w:tblPr>
      <w:tblGrid>
        <w:gridCol w:w="1136"/>
        <w:gridCol w:w="996"/>
        <w:gridCol w:w="1002"/>
        <w:gridCol w:w="360"/>
        <w:gridCol w:w="361"/>
        <w:gridCol w:w="191"/>
        <w:gridCol w:w="191"/>
        <w:gridCol w:w="191"/>
        <w:gridCol w:w="191"/>
        <w:gridCol w:w="360"/>
        <w:gridCol w:w="361"/>
        <w:gridCol w:w="281"/>
      </w:tblGrid>
      <w:t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w:t>
            </w:r>
          </w:p>
        </w:tc>
      </w:tr>
      <w:t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16,519 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21,818 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16,583 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during which the Company recorded a net loss, all potentially dilutive securities, including outstanding stock options and restricted stock unit awards, were excluded from the computation of diluted net loss per share as the effect would be to reduce the net loss per share, and thus they are considered “anti-dilutive.” For this period, the weighted average number of shares of common stock outstanding used to calculate both basic and diluted net loss per share of common stock is the same.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Note 17</w:t>
      </w:r>
      <w:r>
        <w:rPr>
          <w:color w:val="000000"/>
        </w:rPr>
        <w:t xml:space="preserve"> — </w:t>
      </w:r>
      <w:r>
        <w:rPr>
          <w:rFonts w:ascii="Times New Roman;serif" w:hAnsi="Times New Roman;serif"/>
          <w:b/>
          <w:color w:val="000000"/>
          <w:sz w:val="20"/>
        </w:rPr>
        <w:t>Subsequent Events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540"/>
        <w:jc w:val="left"/>
      </w:pPr>
      <w:r>
        <w:rPr>
          <w:rFonts w:ascii="Times New Roman;serif" w:hAnsi="Times New Roman;serif"/>
          <w:b w:val="false"/>
          <w:i/>
          <w:color w:val="000000"/>
          <w:sz w:val="20"/>
        </w:rPr>
        <w:t>The following Management</w:t>
      </w:r>
      <w:r>
        <w:rPr>
          <w:color w:val="000000"/>
        </w:rPr>
        <w:t>’</w:t>
      </w:r>
      <w:r>
        <w:rPr>
          <w:rFonts w:ascii="Times New Roman;serif" w:hAnsi="Times New Roman;serif"/>
          <w:b w:val="false"/>
          <w:i/>
          <w:color w:val="000000"/>
          <w:sz w:val="20"/>
        </w:rPr>
        <w:t>s Discussion and Analysis (</w:t>
      </w:r>
      <w:r>
        <w:rPr>
          <w:color w:val="000000"/>
        </w:rPr>
        <w:t>“</w:t>
      </w:r>
      <w:r>
        <w:rPr>
          <w:rFonts w:ascii="Times New Roman;serif" w:hAnsi="Times New Roman;serif"/>
          <w:b w:val="false"/>
          <w:i/>
          <w:color w:val="000000"/>
          <w:sz w:val="20"/>
        </w:rPr>
        <w:t>MD&amp;A</w:t>
      </w:r>
      <w:r>
        <w:rPr>
          <w:color w:val="000000"/>
        </w:rPr>
        <w:t>”</w:t>
      </w:r>
      <w:r>
        <w:rPr>
          <w:rFonts w:ascii="Times New Roman;serif" w:hAnsi="Times New Roman;serif"/>
          <w:b w:val="false"/>
          <w:i/>
          <w:color w:val="000000"/>
          <w:sz w:val="20"/>
        </w:rPr>
        <w:t xml:space="preserve">) is intended to help the reader understand our results of operations and financial condition. This MD&amp;A is provided as a supplement to, and should be read in conjunction with, our unaudited condensed consolidated financial statements and the accompanying notes to the financial statements and other disclosures included in this report (including the </w:t>
      </w:r>
      <w:r>
        <w:rPr>
          <w:color w:val="000000"/>
        </w:rPr>
        <w:t>“</w:t>
      </w:r>
      <w:r>
        <w:rPr>
          <w:rFonts w:ascii="Times New Roman;serif" w:hAnsi="Times New Roman;serif"/>
          <w:b w:val="false"/>
          <w:i/>
          <w:color w:val="000000"/>
          <w:sz w:val="20"/>
        </w:rPr>
        <w:t>Cautionary Note Regarding Forward-Looking Statements</w:t>
      </w:r>
      <w:r>
        <w:rPr>
          <w:color w:val="000000"/>
        </w:rPr>
        <w:t xml:space="preserve">” </w:t>
      </w:r>
      <w:r>
        <w:rPr>
          <w:rFonts w:ascii="Times New Roman;serif" w:hAnsi="Times New Roman;serif"/>
          <w:b w:val="false"/>
          <w:i/>
          <w:color w:val="000000"/>
          <w:sz w:val="20"/>
        </w:rPr>
        <w:t xml:space="preserve">at the beginning of this report and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in Part II,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global biotechnology company focused on developing and commercializing medicines for hereditary angioedema (“HAE”) and other rare diseases, driven by our deep commitment to improving the lives of people living with these conditions. We have built a robust commercial infrastructure to support the successful commercialization of ORLADEYO, an oral, once-daily therapy discovered and developed internally for the prevention of HAE attacks. Our business strategy includes leveraging this established commercial platform to successfully commercialize a pipeline of potential first-in-class or best-in-class oral small-molecule and injectable protein therapeutics targeting a range of rare diseases. In June 2026, we announced that we would discontinue our internal discovery programs and close our Discovery Center of Excellence facility in Birmingham, Alabama (the “Birmingham Closure Plan”). We are focusing on identifying and advancing high-value opportunities through external innovation, rigorous scientific evaluation, and disciplined capital allocation. By utilizing our existing commercial capabilities and focusing on rare disease markets, we believe that we can most effectively optimize our costs and strategically allocate resources to support long-term, sustainable growth.</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Products and Product Candidates</w:t>
      </w:r>
    </w:p>
    <w:p>
      <w:pPr>
        <w:pStyle w:val="TextBody"/>
        <w:bidi w:val="0"/>
        <w:spacing w:lineRule="auto" w:line="288" w:before="200" w:after="283"/>
        <w:jc w:val="left"/>
      </w:pPr>
      <w:r>
        <w:rPr>
          <w:rFonts w:ascii="Times New Roman;serif" w:hAnsi="Times New Roman;serif"/>
          <w:b w:val="false"/>
          <w:i/>
          <w:color w:val="000000"/>
          <w:sz w:val="20"/>
        </w:rPr>
        <w:t>ORLADEYO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(berotralstat)</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an oral, once-daily therapy discovered and developed by us for the prevention of HAE attacks. A capsule formulation of ORLADEYO is approved in the United States and other global markets for the prevention of HAE attacks in adults and pediatric patients 12 years and older. In December 2025, the U.S. Food and Drug Administration (“FDA”) approved an oral pellet formulation of once-daily ORLADEYO for prophylactic therapy in pediatric patients with HAE aged 2 to &lt;12 years, and in October 2026, the FDA approved the 150 mg oral pellet formulation of once-daily ORLADEYO for prophylactic therapy in adults and adolescents aged 12 years and older. Additionally, in August 2026, Japan’s Ministry of Health, Labor and Welfare granted marketing approval for ORLADEYO for prophylactic therapy in pediatric patients with HAE aged 2 to &lt;12 years.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sales of ORLADEYO for the three and nine months ended September 30, 2026 is discussed under “Results of Operations” in this MD&amp;A. Revenue from sales of ORLADEYO in future periods is subject to uncertainties and will depend on several factors, including, but not limited to,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our pricing strategy, competition and market trends. We monitor and analyze this data on an ongoing basis as we continue to commercialize ORLADEYO and adjust our forecasts accordingly.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Navenibart (STAR-0215)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23, 2026, we completed the previously announced merger (the “Merger”) with Astria Therapeutics, Inc. (“Astria”). Pursuant to the Merger, we acquired Astria’s lead product candidate navenibart, an injectable monoclonal antibody designed to inhibit plasma kallikrein for the prevention of HAE attacks. Navenibart is currently in Phase 3 clinical development, and the FDA has granted Fast Track and Orphan Drug designations to navenibart for the treatment of HAE. The goal for navenibart is to develop an injectable prophylactic therapy with potential best-in-class dosing every 3- or 6-months, which could offer significant improvements over existing injectable options and address key unmet needs in the HAE patient community.</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BCX17725 is a potent and selective investigational protein therapeutic KLK5 inhibitor, currently in Phase 1 clinical development, and designed to provide best-in-class, potentially disease-modifying, treatment for people with Netherton syndrome. Netherton syndrome is a serious, rare, lifelong genetic disorder causing disruption of the skin barrier with premature separation of the skin layers, chronic inflammation and vulnerability to serious infections, caused by lack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normal function of a natural inhibitor of KLK5. People with Netherton syndrome often have itchy, red, scaly, inflamed skin, fragile hair, and are more likely to develop severe food allergies, asthma and eczema. Netherton syndrome can be life-threatening, especially during infancy when patients are vulnerable to dehydration and recurrent infections. Currently, there are no approved treatments that target the underlying cause of Netherton syndrome. BCX17725 is designed to replace missing functions of the natural KLK5 inhibitor, which could restore the normal skin barrier and result in improved skin function, including protection from severe inflammatory and infectious complications of the disease.</w:t>
      </w:r>
    </w:p>
    <w:p>
      <w:pPr>
        <w:pStyle w:val="TextBody"/>
        <w:bidi w:val="0"/>
        <w:spacing w:lineRule="auto" w:line="288" w:before="200" w:after="283"/>
        <w:jc w:val="left"/>
      </w:pPr>
      <w:r>
        <w:rPr>
          <w:rFonts w:ascii="Times New Roman;serif" w:hAnsi="Times New Roman;serif"/>
          <w:b w:val="false"/>
          <w:i/>
          <w:color w:val="000000"/>
          <w:sz w:val="20"/>
        </w:rPr>
        <w:t>RAPIVAB</w:t>
      </w:r>
      <w:r>
        <w:rPr>
          <w:rFonts w:ascii="Times New Roman;serif" w:hAnsi="Times New Roman;serif"/>
          <w:b w:val="false"/>
          <w:color w:val="000000"/>
          <w:sz w:val="20"/>
        </w:rPr>
        <w:t>®</w:t>
      </w:r>
      <w:r>
        <w:rPr>
          <w:rFonts w:ascii="Times New Roman;serif" w:hAnsi="Times New Roman;serif"/>
          <w:b w:val="false"/>
          <w:i/>
          <w:color w:val="000000"/>
          <w:sz w:val="20"/>
        </w:rPr>
        <w:t>/RAPIACTA</w:t>
      </w:r>
      <w:r>
        <w:rPr>
          <w:rFonts w:ascii="Times New Roman;serif" w:hAnsi="Times New Roman;serif"/>
          <w:b w:val="false"/>
          <w:color w:val="000000"/>
          <w:sz w:val="20"/>
        </w:rPr>
        <w:t>®</w:t>
      </w:r>
      <w:r>
        <w:rPr>
          <w:rFonts w:ascii="Times New Roman;serif" w:hAnsi="Times New Roman;serif"/>
          <w:b w:val="false"/>
          <w:i/>
          <w:color w:val="000000"/>
          <w:sz w:val="20"/>
        </w:rPr>
        <w:t>/PERAMIFLU</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(peramivir injection)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RAPIVAB (peramivir injection) is approved in the United States for the treatment of acute uncomplicated influenza for patients six months and older. Peramivir injection is also approved in Canada (RAPIVAB), Australia (RAPIVAB), Japan (RAPIACTA), Taiwan (RAPIACTA), and Korea (PERAMIFLU).</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 and Expenses</w:t>
      </w:r>
    </w:p>
    <w:p>
      <w:pPr>
        <w:pStyle w:val="TextBody"/>
        <w:bidi w:val="0"/>
        <w:spacing w:lineRule="auto" w:line="288" w:before="200" w:after="283"/>
        <w:ind w:left="0" w:right="0" w:firstLine="540"/>
        <w:jc w:val="left"/>
      </w:pPr>
      <w:r>
        <w:rPr>
          <w:rFonts w:ascii="Times New Roman;serif" w:hAnsi="Times New Roman;serif"/>
          <w:b w:val="false"/>
          <w:color w:val="000000"/>
          <w:sz w:val="20"/>
        </w:rPr>
        <w:t>Our revenues are difficult to predict and depend on several factors, including those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 In addition, as noted below under “Results of Operations” in this MD&amp;A, our new specialty pharmacy established its initial inventory position in the three months ended September 30, 2026, and the related purchases contributed favorably to revenue during the period.</w:t>
      </w:r>
    </w:p>
    <w:p>
      <w:pPr>
        <w:pStyle w:val="TextBody"/>
        <w:bidi w:val="0"/>
        <w:spacing w:lineRule="auto" w:line="288" w:before="200" w:after="283"/>
        <w:ind w:left="0" w:right="0" w:firstLine="540"/>
        <w:jc w:val="left"/>
      </w:pPr>
      <w:r>
        <w:rPr>
          <w:rFonts w:ascii="Times New Roman;serif" w:hAnsi="Times New Roman;serif"/>
          <w:b w:val="false"/>
          <w:color w:val="000000"/>
          <w:sz w:val="20"/>
        </w:rPr>
        <w:t>Our operating expenses are also difficult to predict and depend primarily on research and development activities, including clinical research activities, and the ongoing requirements of our development programs, as well as the costs of commercialization, drug manufacturing, direction from regulatory agencies and the factors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 In June 2026, we announced the Birmingham Closure Plan, and we recognized certain related one-time expenses during the three months ended September 30, 2026. See “</w:t>
      </w:r>
      <w:r>
        <w:rPr>
          <w:rFonts w:ascii="Times New Roman;serif" w:hAnsi="Times New Roman;serif"/>
          <w:b w:val="false"/>
          <w:i/>
          <w:color w:val="000000"/>
          <w:sz w:val="20"/>
        </w:rPr>
        <w:t>Note 3—Birmingham Closure</w:t>
      </w:r>
      <w:r>
        <w:rPr>
          <w:color w:val="000000"/>
        </w:rPr>
        <w:t xml:space="preserve">” </w:t>
      </w:r>
      <w:r>
        <w:rPr>
          <w:rFonts w:ascii="Times New Roman;serif" w:hAnsi="Times New Roman;serif"/>
          <w:b w:val="false"/>
          <w:color w:val="000000"/>
          <w:sz w:val="20"/>
        </w:rPr>
        <w:t xml:space="preserve">in the Notes to the Condensed Consolidated Financial Statements in Part I, Item 1 of this report for additional details on the Birmingham Closure Plan and related expenses. </w:t>
      </w:r>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ORLADEYO (berotralstat)</w:t>
      </w:r>
    </w:p>
    <w:p>
      <w:pPr>
        <w:pStyle w:val="TextBody"/>
        <w:bidi w:val="0"/>
        <w:spacing w:before="0" w:after="0"/>
        <w:ind w:left="0" w:right="0" w:firstLine="54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5, 2026, we announced that initial product shipments of ORLADEYO oral pellets to pediatric patients began the week of August 3, 2026, marking a new paradigm in the treatment of HAE in pediatrics. In addition, to support the growing scale of ORLADEYO across both adults and pediatrics, we announced that we engaged a new commercial pharmacy partner for ORLADEYO to serve as our sole source specialty pharmacy for ORLADEYO shipments to patients in the United States beginning in the third quarter of 2026.</w:t>
      </w:r>
    </w:p>
    <w:p>
      <w:pPr>
        <w:pStyle w:val="TextBody"/>
        <w:bidi w:val="0"/>
        <w:spacing w:before="0" w:after="0"/>
        <w:ind w:left="0" w:right="0" w:firstLine="54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25, 2026, we announced that Japan’s Ministry of Health, Labor and Welfare granted marketing approval for ORLADEYO for prophylactic therapy in pediatric patients with HAE aged 2 to &lt;12 years.</w:t>
      </w:r>
    </w:p>
    <w:p>
      <w:pPr>
        <w:pStyle w:val="TextBody"/>
        <w:bidi w:val="0"/>
        <w:spacing w:before="0" w:after="0"/>
        <w:ind w:left="0" w:right="0" w:firstLine="54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21, 2026, we announced that the FDA approved the supplemental new drug application for use of the 150 mg oral pellet formulation of once-daily ORLADEYO for prophylactic therapy in adults and adolescents aged 12 years and older.</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Scientific Advisory Board</w:t>
      </w:r>
    </w:p>
    <w:p>
      <w:pPr>
        <w:pStyle w:val="TextBody"/>
        <w:bidi w:val="0"/>
        <w:spacing w:before="0" w:after="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5, 2026, we announced the formation of a Scientific Advisory Board (“SAB”) comprising seven accomplished scientific and industry leaders with deep expertise across rare disease research and drug development. The SAB will provide independent scientific and strategic guidance as we aim to advance our research and development strategy and build a high value novel drug pipeline.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for the three and nine months ended September 30, 2026 compared to the three and nine months ended September 30, 2025</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revenues for the three months ended September 30, 2026 and 2025:</w:t>
      </w:r>
    </w:p>
    <w:tbl>
      <w:tblPr>
        <w:tblW w:w="5890" w:type="dxa"/>
        <w:jc w:val="left"/>
        <w:tblInd w:w="0" w:type="dxa"/>
        <w:tblLayout w:type="fixed"/>
        <w:tblCellMar>
          <w:top w:w="28" w:type="dxa"/>
          <w:left w:w="28" w:type="dxa"/>
          <w:bottom w:w="28" w:type="dxa"/>
          <w:right w:w="28" w:type="dxa"/>
        </w:tblCellMar>
      </w:tblPr>
      <w:tblGrid>
        <w:gridCol w:w="988"/>
        <w:gridCol w:w="869"/>
        <w:gridCol w:w="872"/>
        <w:gridCol w:w="250"/>
        <w:gridCol w:w="981"/>
        <w:gridCol w:w="129"/>
        <w:gridCol w:w="129"/>
        <w:gridCol w:w="129"/>
        <w:gridCol w:w="129"/>
        <w:gridCol w:w="250"/>
        <w:gridCol w:w="981"/>
        <w:gridCol w:w="183"/>
      </w:tblGrid>
      <w:t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174,833 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ORLADEYO</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174,833 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159,077 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159,395 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$20.9 million increase in total revenues for the three months ended September 30, 2026 compared to the three months ended September 30, 2025 was primarily driven by:</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$29.6 million increase in ORLADEYO revenue, excluding revenues associated with our European ORLADEYO business, primarily due to the transition to a new sole source specialty pharmacy for ORLADEYO shipments to patients in the United States in the third quarter of 2026, as well as growth in the underlying U.S. business (reflecting an increase in net price and higher volume of oral pellets for pediatric patients, partially offset by lower capsule shipments). Unlike the previous specialty pharmacy arrangement, the new specialty pharmacy takes title to and maintains inventory of ORLADEYO prior to dispensing to patients and is required to maintain 7-21 days of inventory on hand. In connection with the transition, the new specialty pharmacy established its initial inventory position in the third quarter of 2026, and the related purchases contributed favorably to revenues during the period in an amount in the upper teens of millions of dollars. As of September 30, 2026, inventory levels at the new specialty pharmacy were at the lower end of the required range; and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$5.1 million increase in license and other revenues primarily attributable to the recognition of $2.2 million of revenue related to the Neopharmed License Agreement and $1.6 million of revenue related to the Kaken License Agreement (see “</w:t>
      </w:r>
      <w:r>
        <w:rPr>
          <w:rFonts w:ascii="Times New Roman;serif" w:hAnsi="Times New Roman;serif"/>
          <w:b w:val="false"/>
          <w:i/>
          <w:color w:val="000000"/>
          <w:sz w:val="20"/>
        </w:rPr>
        <w:t>Note 12—Collaborative and Other Relationships</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on these agreements), and $1.3 million in quarterly royalty payments from BioCryst Ireland Limited; partially offset by:</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$13.8 million decrease in revenues associated with our European ORLADEYO business due to the sale of our European ORLADEYO business to Neopharmed Gentili S.p.A. (“Neopharmed”) on October 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revenues for the nine months ended September 30, 2026 and 2025:</w:t>
      </w:r>
    </w:p>
    <w:tbl>
      <w:tblPr>
        <w:tblW w:w="5771" w:type="dxa"/>
        <w:jc w:val="left"/>
        <w:tblInd w:w="0" w:type="dxa"/>
        <w:tblLayout w:type="fixed"/>
        <w:tblCellMar>
          <w:top w:w="28" w:type="dxa"/>
          <w:left w:w="28" w:type="dxa"/>
          <w:bottom w:w="28" w:type="dxa"/>
          <w:right w:w="28" w:type="dxa"/>
        </w:tblCellMar>
      </w:tblPr>
      <w:tblGrid>
        <w:gridCol w:w="988"/>
        <w:gridCol w:w="869"/>
        <w:gridCol w:w="872"/>
        <w:gridCol w:w="241"/>
        <w:gridCol w:w="944"/>
        <w:gridCol w:w="124"/>
        <w:gridCol w:w="124"/>
        <w:gridCol w:w="124"/>
        <w:gridCol w:w="124"/>
        <w:gridCol w:w="241"/>
        <w:gridCol w:w="944"/>
        <w:gridCol w:w="176"/>
      </w:tblGrid>
      <w:t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481,382 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411,499 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ORLADEYO</w:t>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481,382 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450,157 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554,955 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468,282 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$86.7 million increase in total revenues for the nine months ended September 30, 2026 compared to the nine months ended September 30, 2025 was primarily driven by the following: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$69.9 million increase in ORLADEYO revenue, excluding revenues associated with our European ORLADEYO business, primarily due to the transition to a new sole source specialty pharmacy for ORLADEYO shipments to patients in the United States in the third quarter of 2026, as well as growth in the underlying U.S. business (reflecting an increase in net price and higher volume of capsules and oral pellets for pediatric patients). Unlike the previous specialty pharmacy arrangement, the new specialty pharmacy takes title to and maintains inventory of ORLADEYO prior to dispensing to patients and is required to maintain 7-21 days of inventory on hand. In connection with the transition, the new specialty pharmacy established its initial inventory position in the third quarter of 2026, and the related purchases contributed favorably to revenues during the period in an amount in the upper teens of millions of dollars. As of September 30, 2026, inventory levels at the new specialty pharmacy were at the lower end of the required range; and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$55.4 million increase in license and other revenues primarily attributable to:</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$58.0 million increase due to the recognition of revenue related to the Neopharmed License Agreement;</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$7.2 million increase due to revenue related to quarterly royalty payments from BioCryst Ireland Limited; and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$4.1 million increase due to the recognition of revenue related to the Kaken License Agreement; partially offset by:</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$13.2 million decrease in direct sales of peramivir primarily due to lower direct sales of peramivir to the U.S. Department of Health and Human Services (“HHS”) following the expiration of the initial 12</w:t>
        <w:noBreakHyphen/>
        <w:t>month base ordering period in September 2025, after which no additional ordering periods were exercised; partially offset by:</w:t>
      </w:r>
    </w:p>
    <w:p>
      <w:pPr>
        <w:pStyle w:val="TextBody"/>
        <w:bidi w:val="0"/>
        <w:spacing w:lineRule="auto" w:line="288" w:before="200" w:after="283"/>
        <w:ind w:left="0" w:right="0" w:hanging="360"/>
        <w:jc w:val="left"/>
      </w:pPr>
      <w:r>
        <w:rPr>
          <w:color w:val="000000"/>
        </w:rPr>
        <w:t xml:space="preserve">• </w:t>
      </w:r>
      <w:r>
        <w:rPr>
          <w:rFonts w:ascii="Times New Roman;serif" w:hAnsi="Times New Roman;serif"/>
          <w:b w:val="false"/>
          <w:color w:val="000000"/>
          <w:sz w:val="20"/>
        </w:rPr>
        <w:t>$38.7 million decrease in revenues associated with our European ORLADEYO business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cost of product sales for the three months ended September 30, 2026 and 2025:</w:t>
      </w:r>
    </w:p>
    <w:tbl>
      <w:tblPr>
        <w:tblW w:w="6176" w:type="dxa"/>
        <w:jc w:val="left"/>
        <w:tblInd w:w="0" w:type="dxa"/>
        <w:tblLayout w:type="fixed"/>
        <w:tblCellMar>
          <w:top w:w="28" w:type="dxa"/>
          <w:left w:w="28" w:type="dxa"/>
          <w:bottom w:w="28" w:type="dxa"/>
          <w:right w:w="28" w:type="dxa"/>
        </w:tblCellMar>
      </w:tblPr>
      <w:tblGrid>
        <w:gridCol w:w="1092"/>
        <w:gridCol w:w="959"/>
        <w:gridCol w:w="964"/>
        <w:gridCol w:w="297"/>
        <w:gridCol w:w="869"/>
        <w:gridCol w:w="153"/>
        <w:gridCol w:w="153"/>
        <w:gridCol w:w="153"/>
        <w:gridCol w:w="153"/>
        <w:gridCol w:w="297"/>
        <w:gridCol w:w="869"/>
        <w:gridCol w:w="217"/>
      </w:tblGrid>
      <w:t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ORLADEYO</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peramivir</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product sales</w:t>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$0.6 million decrease in cost of product sales for the three months ended September 30, 2026 compared to the three months ended September 30, 2025 was primarily driven by a decrease in cost of product sales associated with our European ORLADEYO business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cost of product sales for the nine months ended September 30, 2026 and 2025:</w:t>
      </w:r>
    </w:p>
    <w:tbl>
      <w:tblPr>
        <w:tblW w:w="6056" w:type="dxa"/>
        <w:jc w:val="left"/>
        <w:tblInd w:w="0" w:type="dxa"/>
        <w:tblLayout w:type="fixed"/>
        <w:tblCellMar>
          <w:top w:w="28" w:type="dxa"/>
          <w:left w:w="28" w:type="dxa"/>
          <w:bottom w:w="28" w:type="dxa"/>
          <w:right w:w="28" w:type="dxa"/>
        </w:tblCellMar>
      </w:tblPr>
      <w:tblGrid>
        <w:gridCol w:w="1092"/>
        <w:gridCol w:w="959"/>
        <w:gridCol w:w="964"/>
        <w:gridCol w:w="273"/>
        <w:gridCol w:w="934"/>
        <w:gridCol w:w="141"/>
        <w:gridCol w:w="141"/>
        <w:gridCol w:w="141"/>
        <w:gridCol w:w="141"/>
        <w:gridCol w:w="273"/>
        <w:gridCol w:w="798"/>
        <w:gridCol w:w="199"/>
      </w:tblGrid>
      <w:t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ORLADEYO</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peramivir</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product sales</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$1.2 million increase in cost of product sales for the nine months ended September 30, 2026 compared to the nine months ended September 30, 2025 was primarily due to an increase in ORLADEYO sales to our partners, partially offset by a decrease in cost of product sales associated with our European ORLADEYO business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Acquired in-process research and development expense</w:t>
      </w:r>
    </w:p>
    <w:p>
      <w:pPr>
        <w:pStyle w:val="TextBody"/>
        <w:bidi w:val="0"/>
        <w:spacing w:lineRule="auto" w:line="288" w:before="200" w:after="283"/>
        <w:ind w:left="0" w:right="0" w:firstLine="540"/>
        <w:jc w:val="left"/>
      </w:pPr>
      <w:r>
        <w:rPr>
          <w:rFonts w:ascii="Times New Roman;serif" w:hAnsi="Times New Roman;serif"/>
          <w:b w:val="false"/>
          <w:color w:val="000000"/>
          <w:sz w:val="20"/>
        </w:rPr>
        <w:t>Acquired in-process research and development expense was $697.8 million for the nine months ended September 30, 2026 related to the non-cash charge recognized for the value assigned to the navenibart in-process research and development asset acquired as part of the Merger. See “</w:t>
      </w:r>
      <w:r>
        <w:rPr>
          <w:rFonts w:ascii="Times New Roman;serif" w:hAnsi="Times New Roman;serif"/>
          <w:b w:val="false"/>
          <w:i/>
          <w:color w:val="000000"/>
          <w:sz w:val="20"/>
        </w:rPr>
        <w:t>Note 2—Acquisition of Astria Therapeutics, Inc.</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on the Merger.</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all costs incurred to discover, develop and advance our product candidates and related technologies. These costs include direct costs, such as compensation for research and development personnel and costs paid to third-parties for laboratory studies, process development and manufacturing of product candidates, and the conduct and management of clinical trials and other clinical and preclinical activities. Additionally, direct expenses include those costs necessary to discontinue and close out a development program, including termination fees and other commitments. Research and development expenses also include indirect costs, such as lab supplies and services, facility costs, depreciation of lab equipment and other overhead of our research and development activities. Research and development expenses vary based on the number of programs in development and the stage of development of each program. Later stage clinical programs generally require higher spending than earlier stage programs due to the longer length of time of the clinical trials and the higher patient enrollment.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maintain or evaluate internal research and development costs on a program-by-program basis as certain costs may benefit multiple programs. We do not allocate non-program specific external costs or internal costs to programs.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research and development expenses for the three months ended September 30, 2026 and 2025: </w:t>
      </w:r>
    </w:p>
    <w:tbl>
      <w:tblPr>
        <w:tblW w:w="9072" w:type="dxa"/>
        <w:jc w:val="left"/>
        <w:tblInd w:w="0" w:type="dxa"/>
        <w:tblLayout w:type="fixed"/>
        <w:tblCellMar>
          <w:top w:w="28" w:type="dxa"/>
          <w:left w:w="28" w:type="dxa"/>
          <w:bottom w:w="28" w:type="dxa"/>
          <w:right w:w="28" w:type="dxa"/>
        </w:tblCellMar>
      </w:tblPr>
      <w:tblGrid>
        <w:gridCol w:w="2134"/>
        <w:gridCol w:w="1874"/>
        <w:gridCol w:w="1902"/>
        <w:gridCol w:w="272"/>
        <w:gridCol w:w="930"/>
        <w:gridCol w:w="140"/>
        <w:gridCol w:w="140"/>
        <w:gridCol w:w="140"/>
        <w:gridCol w:w="140"/>
        <w:gridCol w:w="272"/>
        <w:gridCol w:w="930"/>
        <w:gridCol w:w="198"/>
      </w:tblGrid>
      <w:tr>
        <w:tc>
          <w:tcPr>
            <w:tcW w:w="213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Navenibart</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58,213 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44,603 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three months ended September 30, 2026 compared to three months ended September 30, 2025 was primarily driven by the following: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$18.0 million increase in navenibart due to the acquisition of the Phase 3 product candidate in connection with the Merger; and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$8.7 million increase in other non-program specific and indirect costs primarily due to the recognition of $9.5 million of impairment expense related to the Birmingham Closure Plan (see “</w:t>
      </w:r>
      <w:r>
        <w:rPr>
          <w:rFonts w:ascii="Times New Roman;serif" w:hAnsi="Times New Roman;serif"/>
          <w:b w:val="false"/>
          <w:i/>
          <w:color w:val="000000"/>
          <w:sz w:val="20"/>
        </w:rPr>
        <w:t>Note 3—Birmingham Closure</w:t>
      </w:r>
      <w:r>
        <w:rPr>
          <w:color w:val="000000"/>
        </w:rPr>
        <w:t xml:space="preserve">” </w:t>
      </w:r>
      <w:r>
        <w:rPr>
          <w:rFonts w:ascii="Times New Roman;serif" w:hAnsi="Times New Roman;serif"/>
          <w:b w:val="false"/>
          <w:color w:val="000000"/>
          <w:sz w:val="20"/>
        </w:rPr>
        <w:t>in the Notes to the Condensed Consolidated Financial Statements in Part I, Item 1 of this report).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the following: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$5.3 million decrease in research, discovery and preclinical programs due to the discontinuation of various programs as a result of the Birmingham Closure Plan;</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$3.8 million decrease in BCX17725 primarily due to a decrease in drug manufacturing activities;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$1.9 million decrease in berotralstat primarily attributed to a decrease in manufacturing and other costs incurred to support FDA approval in pediatric patients in 2025; and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$1.8 million decrease in avoralstat due to the discontinuation of the program in the first quarter of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research and development expenses for the nine months ended September 30, 2026 and 2025: </w:t>
      </w:r>
    </w:p>
    <w:tbl>
      <w:tblPr>
        <w:tblW w:w="8952" w:type="dxa"/>
        <w:jc w:val="left"/>
        <w:tblInd w:w="0" w:type="dxa"/>
        <w:tblLayout w:type="fixed"/>
        <w:tblCellMar>
          <w:top w:w="28" w:type="dxa"/>
          <w:left w:w="28" w:type="dxa"/>
          <w:bottom w:w="28" w:type="dxa"/>
          <w:right w:w="28" w:type="dxa"/>
        </w:tblCellMar>
      </w:tblPr>
      <w:tblGrid>
        <w:gridCol w:w="2134"/>
        <w:gridCol w:w="1874"/>
        <w:gridCol w:w="1902"/>
        <w:gridCol w:w="241"/>
        <w:gridCol w:w="944"/>
        <w:gridCol w:w="124"/>
        <w:gridCol w:w="124"/>
        <w:gridCol w:w="124"/>
        <w:gridCol w:w="124"/>
        <w:gridCol w:w="241"/>
        <w:gridCol w:w="944"/>
        <w:gridCol w:w="176"/>
      </w:tblGrid>
      <w:tr>
        <w:tc>
          <w:tcPr>
            <w:tcW w:w="213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Navenibart</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170,501 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125,259 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nine months ended September 30, 2026 compared to the nine months ended September 30, 2025 was primarily driven by the following: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$45.1 million increase in navenibart due to the acquisition of the Phase 3 product candidate in connection with the Merger;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$14.8 million increase in compensation and related personnel costs primarily due to $10.7 million associated with the portion of the Astria stock option payout attributable to post-combination service in connection with the Merger, and a $6.4 million increase in severance costs driven by employee termination and separation costs related to the Birmingham Closure Plan and Astria related severance costs, partially offset by a $2.5 million decrease in personnel costs due to lower headcount; and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$9.9 million increase in other non-program specific and indirect costs primarily due to the recognition of $9.5 million of impairment expense related to the Birmingham Closure Plan.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the following: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$6.3 million decrease in avoralstat due to the discontinuation of the program in the first quarter of 2026;</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$6.3 million decrease in stock-based compensation expense primarily due to research and development related turnover and prior period acceleration of expense pursuant to the BioCryst Pharmaceuticals, Inc. Equity Award Retirement Policy, partially offset by a modification to extend the post-termination exercise period of certain vested stock option awards at the time of retirement for certain individuals to the original expiration date, resulting in $6.8 million of incremental expense in 2026, and $1.0 million equity modifications in connection with employee terminations related to the Birmingham Closure Plan;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$4.1 million decrease in berotralstat primarily attributed to a decrease in manufacturing and other costs to support FDA approval in pediatric patients in 2025;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$3.8 million decrease in research, discovery and preclinical programs due to the discontinuation of various programs as a result of the Birmingham Closure Plan;</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$2.4 million decrease in BCX17725 primarily due to a decrease in drug manufacturing activities; and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$1.5 million decrease in research and development expenses associated with our European ORLADEYO business (excluding stock-based compensation) due to the sale of our European ORLADEYO business to Neopharmed on October 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represent costs incurred to commercialize our products and support our operations. Sales and marketing expenses include personnel-related costs, activities supporting the commercialization and distribution of marketed products, market research, marketing, medical affairs, market access, and advertising costs. General and administrative expenses include personnel-related costs and other expenses associated with quality, finance, human resources, information technology, legal, compliance, and other administrative functions, including transaction-related costs.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three months ended September 30, 2026 and 2025:</w:t>
      </w:r>
    </w:p>
    <w:tbl>
      <w:tblPr>
        <w:tblW w:w="9071" w:type="dxa"/>
        <w:jc w:val="left"/>
        <w:tblInd w:w="0" w:type="dxa"/>
        <w:tblLayout w:type="fixed"/>
        <w:tblCellMar>
          <w:top w:w="28" w:type="dxa"/>
          <w:left w:w="28" w:type="dxa"/>
          <w:bottom w:w="28" w:type="dxa"/>
          <w:right w:w="28" w:type="dxa"/>
        </w:tblCellMar>
      </w:tblPr>
      <w:tblGrid>
        <w:gridCol w:w="2141"/>
        <w:gridCol w:w="1879"/>
        <w:gridCol w:w="1889"/>
        <w:gridCol w:w="272"/>
        <w:gridCol w:w="930"/>
        <w:gridCol w:w="140"/>
        <w:gridCol w:w="140"/>
        <w:gridCol w:w="140"/>
        <w:gridCol w:w="140"/>
        <w:gridCol w:w="272"/>
        <w:gridCol w:w="930"/>
        <w:gridCol w:w="198"/>
      </w:tblGrid>
      <w:tr>
        <w:tc>
          <w:tcPr>
            <w:tcW w:w="214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34,977 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67,175 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83,014 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pPr>
      <w:r>
        <w:rPr>
          <w:rFonts w:ascii="Times New Roman;serif" w:hAnsi="Times New Roman;serif"/>
          <w:b w:val="false"/>
          <w:color w:val="000000"/>
          <w:sz w:val="20"/>
        </w:rPr>
        <w:t>The increase in sales and marketing expenses (excluding stock-based compensation) for the three months ended September 30, 2026 compared to the three months ended September 30, 2025 was primarily driven by $3.0 million of expense associated with the transition to a new sole source specialty pharmacy for ORLADEYO shipments to patients in the United States in the third quarter of 2026 and $1.7 million of cash separation costs related to the September 2026 workforce reduction (see “</w:t>
      </w:r>
      <w:r>
        <w:rPr>
          <w:rFonts w:ascii="Times New Roman;serif" w:hAnsi="Times New Roman;serif"/>
          <w:b w:val="false"/>
          <w:i/>
          <w:color w:val="000000"/>
          <w:sz w:val="20"/>
        </w:rPr>
        <w:t>Note 13—Workforce Reduction</w:t>
      </w:r>
      <w:r>
        <w:rPr>
          <w:color w:val="000000"/>
        </w:rPr>
        <w:t xml:space="preserve">” </w:t>
      </w:r>
      <w:r>
        <w:rPr>
          <w:rFonts w:ascii="Times New Roman;serif" w:hAnsi="Times New Roman;serif"/>
          <w:b w:val="false"/>
          <w:color w:val="000000"/>
          <w:sz w:val="20"/>
        </w:rPr>
        <w:t>in the Notes to the Condensed Consolidated Financial Statements in Part I, Item 1 of this report); partially offset by a $1.2 million decrease in manufacturing support related costs.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expenses (excluding stock-based compensation) for the three months ended September 30, 2026 compared to the three months ended September 30, 2025 was primarily driven by a decrease in transaction-related costs, partially offset by $1.9 million of cash separation costs related to the Birmingham Closure Plan and the September 2026 workforce reduction.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Expenses associated with our European ORLADEYO business (excluding stock-based compensation) were $12.1 million for the three months ended September 30, 2025. There were no corresponding expenses for the three months ended September 30, 2026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stock-based compensation expense for the three months ended September 30, 2026 compared to the three months ended September 30, 2025 was primarily attributed to employee turnover, prior period acceleration of expense pursuant to the BioCryst Pharmaceuticals, Inc. Equity Award Retirement Policy, and prior period adjustments for estimated forfeitures.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nine months ended September 30, 2026 and 2025:</w:t>
      </w:r>
    </w:p>
    <w:tbl>
      <w:tblPr>
        <w:tblW w:w="8951" w:type="dxa"/>
        <w:jc w:val="left"/>
        <w:tblInd w:w="0" w:type="dxa"/>
        <w:tblLayout w:type="fixed"/>
        <w:tblCellMar>
          <w:top w:w="28" w:type="dxa"/>
          <w:left w:w="28" w:type="dxa"/>
          <w:bottom w:w="28" w:type="dxa"/>
          <w:right w:w="28" w:type="dxa"/>
        </w:tblCellMar>
      </w:tblPr>
      <w:tblGrid>
        <w:gridCol w:w="2141"/>
        <w:gridCol w:w="1879"/>
        <w:gridCol w:w="1889"/>
        <w:gridCol w:w="241"/>
        <w:gridCol w:w="944"/>
        <w:gridCol w:w="124"/>
        <w:gridCol w:w="124"/>
        <w:gridCol w:w="124"/>
        <w:gridCol w:w="124"/>
        <w:gridCol w:w="241"/>
        <w:gridCol w:w="944"/>
        <w:gridCol w:w="176"/>
      </w:tblGrid>
      <w:tr>
        <w:tc>
          <w:tcPr>
            <w:tcW w:w="214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114,626 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225,705 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252,866 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expenses (excluding stock-based compensation) for the nine months ended September 30, 2026 compared to the nine months ended September 30, 2025 was primarily driven by the following: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$3.7 million of expense associated with the portion of the Astria stock option payout attributable to post-combination service in connection with the Merger;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$3.8 million increase in severance costs primarily driven by Astria related severance costs and cash separation costs related to the September 2026 workforce reduction; and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$3.0 million of expense associated with the transition to a new sole source specialty pharmacy for ORLADEYO shipments to patients in the United States in the third quarter of 2026.</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$3.3 million decrease in manufacturing support related costs.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(excluding stock-based compensation) for the nine months ended September 30, 2026 compared to the nine months ended September 30, 2025 was primarily driven by the following: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$14.7 million of expense associated with the portion of the Astria stock option payout attributable to post-combination service in connection with the Merger;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$6.5 million increase in severance costs driven by $6.3 million of Astria related severance costs in connection with the Merger; and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$6.5 million increase due to incremental employee, facility, and other costs associated with Astria.</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increases were partially offset by: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$8.5 million of transaction-related costs incurred in 2025 associated with the sale of our European ORLADEYO business to Neopharmed on October 1, 2025; </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$4.6 million decrease in personnel related costs due to lower headcount; and</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$1.5 million of transaction-related costs incurred in 2025 in connection with the Merger.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Expenses associated with our European ORLADEYO business (excluding stock-based compensation) were $38.6 million for the nine months ended September 30, 2025. There were no corresponding expenses for the nine months ended September 30, 2026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stock-based compensation expense for the nine months ended September 30, 2026 compared to the nine months ended September 30, 2025 was primarily attributed to employee turnover, prior period acceleration of expense pursuant to the BioCryst Pharmaceuticals, Inc. Equity Award Retirement Policy, and prior period adjustments for estimated forfeitures.</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other income (expense) for the three and nine months ended September 30, 2026 and 2025, respectively: </w:t>
      </w:r>
    </w:p>
    <w:tbl>
      <w:tblPr>
        <w:tblW w:w="5845" w:type="dxa"/>
        <w:jc w:val="left"/>
        <w:tblInd w:w="0" w:type="dxa"/>
        <w:tblLayout w:type="fixed"/>
        <w:tblCellMar>
          <w:top w:w="28" w:type="dxa"/>
          <w:left w:w="28" w:type="dxa"/>
          <w:bottom w:w="28" w:type="dxa"/>
          <w:right w:w="28" w:type="dxa"/>
        </w:tblCellMar>
      </w:tblPr>
      <w:tblGrid>
        <w:gridCol w:w="973"/>
        <w:gridCol w:w="852"/>
        <w:gridCol w:w="859"/>
        <w:gridCol w:w="256"/>
        <w:gridCol w:w="967"/>
        <w:gridCol w:w="132"/>
        <w:gridCol w:w="132"/>
        <w:gridCol w:w="132"/>
        <w:gridCol w:w="132"/>
        <w:gridCol w:w="256"/>
        <w:gridCol w:w="967"/>
        <w:gridCol w:w="187"/>
      </w:tblGrid>
      <w:tr>
        <w:tc>
          <w:tcPr>
            <w:tcW w:w="9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net</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2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(14,745)</w:t>
            </w:r>
          </w:p>
        </w:tc>
        <w:tc>
          <w:tcPr>
            <w:tcW w:w="1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w:t>
            </w:r>
          </w:p>
        </w:tc>
        <w:tc>
          <w:tcPr>
            <w:tcW w:w="1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27" w:type="dxa"/>
        <w:jc w:val="left"/>
        <w:tblInd w:w="0" w:type="dxa"/>
        <w:tblLayout w:type="fixed"/>
        <w:tblCellMar>
          <w:top w:w="28" w:type="dxa"/>
          <w:left w:w="28" w:type="dxa"/>
          <w:bottom w:w="28" w:type="dxa"/>
          <w:right w:w="28" w:type="dxa"/>
        </w:tblCellMar>
      </w:tblPr>
      <w:tblGrid>
        <w:gridCol w:w="973"/>
        <w:gridCol w:w="852"/>
        <w:gridCol w:w="860"/>
        <w:gridCol w:w="246"/>
        <w:gridCol w:w="931"/>
        <w:gridCol w:w="127"/>
        <w:gridCol w:w="127"/>
        <w:gridCol w:w="127"/>
        <w:gridCol w:w="127"/>
        <w:gridCol w:w="246"/>
        <w:gridCol w:w="931"/>
        <w:gridCol w:w="180"/>
      </w:tblGrid>
      <w:tr>
        <w:tc>
          <w:tcPr>
            <w:tcW w:w="9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 net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(52,946)</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(61,230)</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pPr>
      <w:r>
        <w:rPr>
          <w:rFonts w:ascii="Times New Roman;serif" w:hAnsi="Times New Roman;serif"/>
          <w:b w:val="false"/>
          <w:color w:val="000000"/>
          <w:sz w:val="20"/>
        </w:rPr>
        <w:t>Interest expense was primarily comprised of non-cash interest expense due to the amortization of interest associated with our royalty financing obligations and interest expense associated with the borrowings under the Blackstone Loan Agreement (as defined below) for the three and nine months ended September 30, 2026 and Pharmakon Loan Agreement (as defined in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the three and nine months ended September 30, 2025. The decrease in interest expense for the nine months ended September 30, 2026 was primarily due to a lower effective interest rate under the Blackstone Loan Agreement as compared to the 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2025 and July 2025, we made $75.0 million and $50.0 million partial prepayments, respectively, on the outstanding principal amount under the Pharmakon term loan resulting in a one-time loss on extinguishment of debt of $2.7 million and $6.9 million for the three and nine months ended September 30, 2025, respectively. We paid off the remainder of the outstanding principal balance of $198.7 million as of September 30, 2025 in two separate prepayments in the third and fourth quarters of 2025.</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income tax expense was $0.7 million compared to an income tax benefit of $0.8 million for the three months ended September 30, 2025. The increase in income tax expense was primarily due to the tax benefit recognized in the third quarter of 2025 resulting from the enactment of the One Big Beautiful Bill Act (“OBBBA”) during the three months ended September 30, 2025 which allowed additional taxable deductions for domestic research and development expenditures.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income tax expense was $2.8 million compared to $1.4 million for the nine months ended September 30, 2025. The increase in income tax expense was primarily driven by the increase in U.S. and foreign taxable income for the nine months ended September 30, 2026 compared to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our principal sources of liquidity consisted of cash, cash equivalents and available-for-sale investments totaling $375.0 million, cash generated from ORLADEYO sales, the potential for additional term loans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the Blackstone Loan Agreement (as defined below), proceeds from licensing and collaborative agreements, and royalty financing arrangements. In addition to the above, we have previously received funding from other sources, including public offerings and private placements of equity securities, cash from research and development agreements, including U.S. Government contracts, government grants, research grants, and interest income on our investments.</w:t>
      </w:r>
    </w:p>
    <w:p>
      <w:pPr>
        <w:pStyle w:val="TextBody"/>
        <w:bidi w:val="0"/>
        <w:spacing w:lineRule="auto" w:line="288" w:before="200" w:after="283"/>
        <w:ind w:left="0" w:right="0" w:firstLine="540"/>
        <w:jc w:val="left"/>
      </w:pPr>
      <w:r>
        <w:rPr>
          <w:rFonts w:ascii="Times New Roman;serif" w:hAnsi="Times New Roman;serif"/>
          <w:b w:val="false"/>
          <w:color w:val="000000"/>
          <w:sz w:val="20"/>
        </w:rPr>
        <w:t>On January 23, 2026, we entered into</w:t>
      </w:r>
      <w:r>
        <w:rPr>
          <w:color w:val="000000"/>
          <w:shd w:fill="FFFFFF" w:val="clear"/>
        </w:rPr>
        <w:t xml:space="preserve"> </w:t>
      </w:r>
      <w:r>
        <w:rPr>
          <w:rFonts w:ascii="Times New Roman;serif" w:hAnsi="Times New Roman;serif"/>
          <w:b w:val="false"/>
          <w:color w:val="000000"/>
          <w:sz w:val="20"/>
          <w:shd w:fill="FFFFFF" w:val="clear"/>
        </w:rPr>
        <w:t xml:space="preserve">a Loan Agreement (the “Blackstone Loan Agreement”) with </w:t>
      </w:r>
      <w:r>
        <w:rPr>
          <w:rFonts w:ascii="Times New Roman;serif" w:hAnsi="Times New Roman;serif"/>
          <w:b w:val="false"/>
          <w:color w:val="000000"/>
          <w:sz w:val="20"/>
        </w:rPr>
        <w:t xml:space="preserve">Blackstone Alternative Credit Advisors LP and Blackstone Life Sciences Advisors L.L.C., (together, “Blackstone”), as the Blackstone representatives thereunder, the guarantors from time to time party thereto, the lenders from time to time party thereto, and Wilmington Trust, National Association, as agent, pursuant to which the lenders funded term loans in the aggregate principal amount of $400.0 million (the “Term Loans”). We used the proceeds from the Term Loans to pay the cash portion of the consideration required to consummate the Merger. The maturity date of the Term Loans under the Blackstone Loan Agreement is January 23, 2031. Subject to the mutual agreement between us, Blackstone and the lenders, we may request additional term loans up to an aggregate principal amount not exceeding $150.0 million. Our obligations under the Blackstone Loan Agreement are secured by a security interest in, subject to certain exceptions, substantially all of our and our subsidiaries’ assets. </w:t>
      </w:r>
    </w:p>
    <w:p>
      <w:pPr>
        <w:pStyle w:val="TextBody"/>
        <w:bidi w:val="0"/>
        <w:spacing w:lineRule="auto" w:line="288" w:before="200" w:after="283"/>
        <w:ind w:left="0" w:right="0" w:firstLine="540"/>
        <w:jc w:val="left"/>
      </w:pPr>
      <w:r>
        <w:rPr>
          <w:rFonts w:ascii="Times New Roman;serif" w:hAnsi="Times New Roman;serif"/>
          <w:b w:val="false"/>
          <w:color w:val="000000"/>
          <w:sz w:val="20"/>
        </w:rPr>
        <w:t>The Blackstone Loan Agreement also contains representations and warranties and affirmative and negative covenants customary for financings of this type (including a minimum liquidity covenant), as well as customary events of default. Certain of the customary negative covenants limit our ability and the ability of certain of our subsidiaries to, among other things, dispose of assets, engage in mergers, acquisitions and similar transactions, incur additional indebtedness, grant liens, make investments, pay dividends or make distributions or certain other restricted payments in respect of equity, prepay certain other indebtedness, enter into restrictive agreements, undertake fundamental changes or amend certain material contracts, among other customary covenants, in each case subject to certain exceptions. A failure to comply with the covenants in the Blackstone Loan Agreement, or an occurrence of any other event of default, could permit the lenders under the Blackstone Loan Agreement to declare the borrowings thereunder, together with accrued interest and fees, and any applicable yield protection premium, to be immediately due and payable. We were in compliance with the covenants in the Blackstone Loan Agreement as of September 30, 2026.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about the Blackstone Loan Agreement.</w:t>
      </w:r>
    </w:p>
    <w:p>
      <w:pPr>
        <w:pStyle w:val="TextBody"/>
        <w:bidi w:val="0"/>
        <w:spacing w:lineRule="auto" w:line="288" w:before="200" w:after="283"/>
        <w:ind w:left="0" w:right="0" w:firstLine="540"/>
        <w:jc w:val="left"/>
      </w:pPr>
      <w:r>
        <w:rPr>
          <w:rFonts w:ascii="Times New Roman;serif" w:hAnsi="Times New Roman;serif"/>
          <w:b w:val="false"/>
          <w:color w:val="000000"/>
          <w:sz w:val="20"/>
        </w:rPr>
        <w:t>In 2020 and 2021, we entered into the Royalty Purchase Agreements (as defined in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the Condensed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w:t>
      </w:r>
      <w:r>
        <w:rPr>
          <w:rFonts w:ascii="Times New Roman;serif" w:hAnsi="Times New Roman;serif"/>
          <w:b w:val="false"/>
          <w:color w:val="000000"/>
          <w:sz w:val="20"/>
          <w:shd w:fill="FFFFFF" w:val="clear"/>
        </w:rPr>
        <w:t xml:space="preserve">s and certain key European markets (collectively, the “Key </w:t>
      </w:r>
      <w:r>
        <w:rPr>
          <w:rFonts w:ascii="Times New Roman;serif" w:hAnsi="Times New Roman;serif"/>
          <w:b w:val="false"/>
          <w:color w:val="000000"/>
          <w:sz w:val="20"/>
        </w:rPr>
        <w:t>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No royalty payments are due on direct sales over $550.0 million. See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about these financing transactions.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period presented:</w:t>
      </w:r>
    </w:p>
    <w:tbl>
      <w:tblPr>
        <w:tblW w:w="10205" w:type="dxa"/>
        <w:jc w:val="left"/>
        <w:tblInd w:w="0" w:type="dxa"/>
        <w:tblLayout w:type="fixed"/>
        <w:tblCellMar>
          <w:top w:w="28" w:type="dxa"/>
          <w:left w:w="28" w:type="dxa"/>
          <w:bottom w:w="28" w:type="dxa"/>
          <w:right w:w="28" w:type="dxa"/>
        </w:tblCellMar>
      </w:tblPr>
      <w:tblGrid>
        <w:gridCol w:w="2706"/>
        <w:gridCol w:w="2305"/>
        <w:gridCol w:w="2324"/>
        <w:gridCol w:w="240"/>
        <w:gridCol w:w="823"/>
        <w:gridCol w:w="124"/>
        <w:gridCol w:w="124"/>
        <w:gridCol w:w="124"/>
        <w:gridCol w:w="124"/>
        <w:gridCol w:w="240"/>
        <w:gridCol w:w="890"/>
        <w:gridCol w:w="181"/>
      </w:tblGrid>
      <w:tr>
        <w:tc>
          <w:tcPr>
            <w:tcW w:w="270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(457,671)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 including cash classified within current assets held for sale</w:t>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increase in cash and cash equivalents classified within current assets held for sale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(20,266)</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incurred a net loss of $605.5 million, which was primarily driven by the non-cash acquired in-process research and development charge of $697.8 million related to the Merger. After adjusting for this, other non-cash cash items totaling $94.5 million, and operating assets and liabilities used of $111.2 million, net cash provided by operating activities totaled $75.5 million.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generated net income of $18.0 million. After adjusting for non-cash items totaling $98.5 million, and operating assets and liabilities used of $61.1 million, net cash provided by operating activities totaled $55.4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net cash used in investing activities of $457.7 million primarily related to cash paid for the acquisition of Astria, net of cash acquired, of $489.5 million and $275.8 million of purchases of investment securities, partially offset by $308.4 million of sales and maturities of investment securities.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net cash provided by investing activities of $69.8 million primarily related to sales and maturities of investment securities of $207.6 million, partially offset by purchases of investment securities of $136.7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net cash provided by financing activities of $389.3 million primarily consisted of net proceeds from the Term Loans under the Blackstone Loan Agreement of $395.0 million and common stock issued under stock-based compensation plans of $29.9 million, partially offset by principal payments on royalty financing obligations of $28.5 million and withholding taxes paid on stock-based awards of $6.3 million.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net cash used in financing activities of $132.0 million primarily consisted of repayment of Pharmakon term loan principal and related prepayment premium and fees totaling $119.6 million and principal payments on royalty financing obligations of $16.4 million, partially offset by net proceeds from common stock issued under stock-based compensation plans of $8.5 million.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Plan of Operation and Future Funding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contain costs and cash flow requirements by closely managing our third-party costs and headcount, leasing our facilities, and contracting with other parties to conduct certain research and development projects. We may incur additional expenses, potentially resulting in significant losses, as we continue to pursue our research and development activities, commercialize ORLADEYO, and engage in strategic business development.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high credit quality financial institutions. We invest in marketable debt securities that may consist of U.S. Treasury obligations, U.S. Government agency securities, money market funds, certificates of deposit, and corporate notes and bonds in order to limit the amount of our credit exposure. We have not realized any significant losses on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expenses, revenues and cash utilization rate could vary significantly depending on many factors, some of which will consume significant capital resources, including: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 xml:space="preserve">the progress and results of our current and proposed clinical trials for our product candidates;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progress made in the development, manufacturing, and regulatory approval process of our product candidates;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the success of our commercialization efforts for, and market acceptance of, our products;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business development activities;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the amount of funding or assistance, if any, we receive from new partnerships with third parties for the development and/or commercialization of our products and product candidates;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development progress of any collaborative agreements for our product candidates;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the amount and timing of funding we receive, if any, from U.S. Government contracts.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expectations for revenue and operating expenses, we believe our financial resources will be sufficient to fund our operations for at least the next 12 months. Our liquidity needs will be largely determined by the success of operations in regard to the successful commercialization of our products and the future progression of our product candidates. In addition to financing our needs through our existing capital resources and interest earned on that capital, as well as revenues from product sales, we periodically evaluate other opportunities to fund future operations, including: (1) out-licensing rights to certain of our products or product candidates, pursuant to which we would receive cash milestone payments; (2) obtaining additional product candidate regulatory approvals, which would generate revenue, milestone payments and cash flow; (3) reducing spending on one or more research and development programs, including by discontinuing development; (4) restructuring operations to change our overhead structure; (5) securing U.S. Government funding of our programs, including obtaining procurement contracts; and/or (6) pursuing royalty or loan financing. We may also,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success of our business development efforts; the timing, scope, and magnitude of our research and development and commercial expenses; and key regulatory and operational developments.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long-term capital requirements and the adequacy of our available funds will depend upon many factors, including: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sustained market acceptance of approved products and successful commercialization of such products by either us or our partners;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progress and magnitude of our research and development programs;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success of our external innovation strategy;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changes in existing collaborative relationships;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ability to establish additional collaborative relationships if and when needed;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extent to which our partners will share in the costs associated with the development of our programs or run the development programs themselves;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ability to negotiate favorable development and marketing strategic alliances for certain products and product candidates;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any decision to build or expand our commercial capabilities;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scope and results of preclinical studies and clinical trials to develop product candidates;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ability to engage sites and enroll subjects in our clinical trials;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scope of manufacturing of our products to support our commercial operations and of our product candidates to support our preclinical research and clinical trials;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scope of manufacturing of our drug substance and product candidates required for future new drug application filings;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competitive and technological advances;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time and costs involved in obtaining regulatory approvals;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post-approval commitments for any products that receive regulatory approval;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business development activities;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costs involved in all aspects of intellectual property strategy and protection, including the costs involved in preparing, filing, prosecuting, maintaining, defending, and enforcing patent claims.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pPr>
      <w:r>
        <w:rPr>
          <w:rFonts w:ascii="Times New Roman;serif" w:hAnsi="Times New Roman;serif"/>
          <w:b w:val="false"/>
          <w:color w:val="000000"/>
          <w:sz w:val="20"/>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w:t>
      </w:r>
      <w:r>
        <w:rPr>
          <w:rFonts w:ascii="Times New Roman;serif" w:hAnsi="Times New Roman;serif"/>
          <w:b w:val="false"/>
          <w:i/>
          <w:color w:val="000000"/>
          <w:sz w:val="20"/>
        </w:rPr>
        <w:t>Risk Factors—Risks Relating to Our Business—Financial and Liquidity Risks</w:t>
      </w:r>
      <w:r>
        <w:rPr>
          <w:color w:val="000000"/>
        </w:rPr>
        <w:t xml:space="preserve">” </w:t>
      </w:r>
      <w:r>
        <w:rPr>
          <w:rFonts w:ascii="Times New Roman;serif" w:hAnsi="Times New Roman;serif"/>
          <w:b w:val="false"/>
          <w:color w:val="000000"/>
          <w:sz w:val="20"/>
        </w:rPr>
        <w:t xml:space="preserve">in Part II, Item 1A of this report for further discussion of the risks related to obtaining additional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consolidated financial statements in accordance with U.S. GAAP requires us to make estimates and judgments that affect the reported amounts of assets, liabilities, revenues, expenses, and related disclosures for the periods presented. Some of these estimates can be subjective and complex with a significant level of estimation uncertainty, and, consequently, actual results may differ from these estimates. The judgments and assumptions used by management are based on historical experience and information available to us at the time that we make these estimates and judgments. To the extent there are material differences between these estimates and actual results, our consolidated financial statements will be affected. Although we believe that our judgments and estimates are appropriate, actual results may differ from these estimates.</w:t>
      </w:r>
    </w:p>
    <w:p>
      <w:pPr>
        <w:pStyle w:val="TextBody"/>
        <w:bidi w:val="0"/>
        <w:spacing w:lineRule="auto" w:line="288" w:before="200" w:after="283"/>
        <w:ind w:left="0" w:right="0" w:firstLine="540"/>
        <w:jc w:val="left"/>
      </w:pPr>
      <w:r>
        <w:rPr>
          <w:rFonts w:ascii="Times New Roman;serif" w:hAnsi="Times New Roman;serif"/>
          <w:b w:val="false"/>
          <w:color w:val="000000"/>
          <w:sz w:val="20"/>
        </w:rPr>
        <w:t>While our significant accounting policies are more fully described in “</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the Condensed Consolidated Financial Statements in Part I, Item 1 of this report, we believe the following accounting policies to be most critical to the judgments and estimates used in the preparation of our Condensed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540"/>
        <w:jc w:val="left"/>
      </w:pPr>
      <w:r>
        <w:rPr>
          <w:rFonts w:ascii="Times New Roman;serif" w:hAnsi="Times New Roman;serif"/>
          <w:b w:val="false"/>
          <w:color w:val="000000"/>
          <w:sz w:val="20"/>
        </w:rPr>
        <w:t xml:space="preserve">The application of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substantially impacts our reported results, particularly product sales, net, which requires certain estimates in determining the transaction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from product sales are recorded at the net selling price (transaction price), which includes estimates of variable consideration including government and managed care rebates, chargebacks, co-payment and patient assistance, quick starts, and product returns. Variable consideration is estimated using the expected value method and is included in product sales, net only to the extent that it is probable that a significant reversal of cumulative revenue recognized will not occur. Estimates are reassessed each reporting period. If actual results vary from estimates, adjustments are recognized, which would affect net product revenue and earnings in the period identified.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most subjective of these estimates are government and managed care rebates. We estimate rebates payable to third-party payors, including managed care organizations and government programs, and record such amounts as reductions of gross product revenues at the time revenue is recognized, with corresponding liabilities recorded in accrued expenses. Rebate estimates are based on contractual terms, applicable program requirements, and product distribution information obtained from our specialty pharmacy regarding payor mix.</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 and Related Accruals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research and development expenses based on the review of contracts and purchase orders, discussions with internal personnel to identify services that have been performed on our behalf, discussions with service providers, and assumptions regarding actual work completed and the associated costs incurred when we have not yet been invoiced or otherwise notified of actual cost. We consider facts and circumstances known to us at the time, which may include assumptions regarding expected patient enrollment, site activation and estimated project duration. In expensing service fees, we estimate the time period over which services will be performed and the level of effort expended in each period. Examples of estimated accrued research and development expenses include (i) fees paid to clinical research organizations (“CROs”) in connection with preclinical and toxicology studies and clinical trials, (ii) fees paid to investigative sites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connection with clinical trials, (iii) fees paid to contract manufacturers in connection with the production of our raw materials, drug substance, drug products, and product candidates, and (iv) professional fees.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terms of our agreements may result in uneven payment flows, as payments may depend on factors such as the successful enrollment of patients and the completion of milestones. We accrue for expenses when we determine an obligation has been incurred, regardless of the timing of the invoice. We periodically confirm the accuracy of our estimates with the service providers and adjust if necessary. If we do not identify costs that we have begun to incur or if we underestimate or overestimate the level of these costs, our actual expenses could differ from our estimates.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royalty financing obligations, RPI and OMERS are entitled to receive sales-based royalties on net product sales of ORLADEYO. Interest expense is accrued using the effective interest rate method over the estimated period each of the related liabilities will be paid. This requires us to estimate the total amount of future royalty payments to be generated from product sales over the life of the agreements. We impute interest on the carrying values of each of the royalty financing obligations and record interest expense using an imputed effective interest rate. We reassess the expected royalty payments each reporting period and account for any changes through adjustments to the effective interest rates on a prospective basis. The assumptions used in determining the expected repayment terms of the debt and amortization periods of the issuance costs requires that we make estimates that could impact the carrying value of each of the liabilities, as well as the periods over which associated issuance costs will be amortized. Significant changes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Asset Acquisitions and Acquired In-Process Research and Development </w:t>
      </w:r>
    </w:p>
    <w:p>
      <w:pPr>
        <w:pStyle w:val="TextBody"/>
        <w:bidi w:val="0"/>
        <w:spacing w:lineRule="auto" w:line="288" w:before="200" w:after="283"/>
        <w:ind w:left="0" w:right="0" w:firstLine="540"/>
        <w:jc w:val="left"/>
      </w:pPr>
      <w:r>
        <w:rPr>
          <w:rFonts w:ascii="Times New Roman;serif" w:hAnsi="Times New Roman;serif"/>
          <w:b w:val="false"/>
          <w:color w:val="000000"/>
          <w:sz w:val="20"/>
        </w:rPr>
        <w:t xml:space="preserve">Accounting for asset acquisitions requires significant judgment, including the application of the screen test in accordance with ASC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and the valuation of acquired in</w:t>
        <w:noBreakHyphen/>
        <w:t>process research and development (“IPR&amp;D”). Determining whether substantially all of the fair value of the gross assets acquired is concentrated in a single identifiable asset requires estimates of relative fair values. During 2026, we acquired significant IPR&amp;D related to the navenibart development program in connection with the Merger. The determination of the fair value of acquired IPR&amp;D represents a critical accounting estimate because it requires significant management judgment and the use of unobservable inputs. Key assumptions include development timelines, probabilities of technical and regulatory success, expected future revenues, market conditions, and discount rates. In certain circumstances, we may conclude that an acquired IPR&amp;D asset has no measurable fair value at the acquisition date based on market participant considerations. Changes in these assumptions or judgments could materially affect our accounting conclusions and amounts recognized in our condensed consolidated financial statements. See “</w:t>
      </w:r>
      <w:r>
        <w:rPr>
          <w:rFonts w:ascii="Times New Roman;serif" w:hAnsi="Times New Roman;serif"/>
          <w:b w:val="false"/>
          <w:i/>
          <w:color w:val="000000"/>
          <w:sz w:val="20"/>
        </w:rPr>
        <w:t>Note 2—Acquisition of Astria Therapeutics, Inc.</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on the Merger.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liability method is used in our accounting for income taxes. Significant management judgment is required in determining any valuation allowance recorded against net deferred tax assets and uncertain tax positions.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future earnings in each of the jurisdictions in which we operate and the period over which our deferred tax assets will be recoverable.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uncertain tax positions in accordance with U.S. GAAP. Uncertain tax positions are recorded based upon certain recognition and measurement criteria. We re-evaluate uncertain tax positions and consider various factors, including, but not limited to, changes in tax law and the measurement of tax positions taken or expected to be taken in tax returns. We adjust the amount of the liability to reflect any subsequent changes in the relevant facts and circumstances surrounding the uncertain tax positions.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540"/>
        <w:jc w:val="left"/>
      </w:pPr>
      <w:r>
        <w:rPr>
          <w:color w:val="000000"/>
        </w:rPr>
        <w:t>“</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the Condensed Consolidated Financial Statements included in Part I, Item 1 of this report discusses accounting pronouncements recently issued or proposed but not yet required to be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ind w:left="0" w:right="0" w:firstLine="540"/>
        <w:jc w:val="left"/>
      </w:pPr>
      <w:r>
        <w:rPr>
          <w:rFonts w:ascii="Times New Roman;serif" w:hAnsi="Times New Roman;serif"/>
          <w:b w:val="false"/>
          <w:color w:val="000000"/>
          <w:sz w:val="20"/>
        </w:rPr>
        <w:t>We are subject to interest rate risk on our investment portfolio and borrowings under our Blackstone Loan Agreement. The Term Loans under the Blackstone Loan Agreement accrue interest each quarter at a rate equal to the three-month Secured Overnight Financing Rate (“SOFR”), which shall be no less than 1.75%, plus 4.50% per annum, plus 0.50% per annum for each quarterly interest period in which a Blackstone PIK Interest Payment (as defined in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included in Part I, Item 1 of this report) is made. Accordingly, increases in interest rates will increase the associated interest payments that we are required to make on the Term Loans. For the three months ended September 30, 2026, interest was accrued at an effective rate of 8.88% on the Term Loans under the Blackstone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invest in marketable securities in accordance with our investment policy. The primary objectives of our investment policy are to preserve capital, maintain proper liquidity to meet operating needs and earn a competitive level of return.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use interest rate derivative instruments to manage exposure to interest rate changes. We ensure the safety and preservation of invested principal funds by limiting default risk, market risk and reinvestment risk. We reduce default risk by investing exclusively in investment grade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revenues and expenses are denominated in U.S. dollars. Our royalties from Torii Pharmaceutical Co., Ltd. (“Torii”) are in Japanese Yen. We also had other transactions denominated in foreign currencies during the nine months ended September 30, 2026, including contract manufacturing and ex-U.S. clinical trial activities, and we expect to continue to do so. Our limited foreign currency exposure relative to our operations is primarily to fluctuations in the Japanese Yen, Canadian Dollar, and Euro. We do not anticipate that foreign currency transaction gains or losses will be significant at our current level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September 30, 2026,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September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January 2025, we received a Paragraph IV notice of certification (the “First Notice Letter”) from Annora Pharma Private Limited (“Annora”) regarding U.S. Patent Nos. 10,662,160; 11,117,867; and 11,618,733. In January 2026, we received an additional Paragraph IV notice of certification (the “Second Notice Letter” and together with the First Notice Letter, the “Notice Letters”) from Annora regarding U.S. Patent No. 12,344,585. The Notice Letters advise that Annora has submitted an Abbreviated New Drug Application (“ANDA”) to the FDA seeking approval to manufacture, use or sell a generic version of ORLADEYO in the United States prior to the expiration of four patents listed in the FDA’s Orange Book: U.S. Patent Nos. 10,662,160; 11,117,867; 11,618,733; and 12,344,585 (the “Challenged Patents”). The Notice Letters allege that the Challenged Patents, which expire in May 2040, are invalid, unenforceable and/or will not be infringed by the commercial manufacture, use or sale of the generic product described in Annora’s ANDA. The Notice Letters do not challenge the following six ORLADEYO Orange Book patents that expire in 2035: U.S. Patent Nos. 10,125,102; 10,329,260; 10,689,346; 11,230,530; 11,708,333; and 12,116,346.</w:t>
      </w:r>
    </w:p>
    <w:p>
      <w:pPr>
        <w:pStyle w:val="TextBody"/>
        <w:bidi w:val="0"/>
        <w:spacing w:before="0" w:after="0"/>
        <w:ind w:left="0" w:right="0" w:firstLine="72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(as supplemented by the First Amended Complaint filed in December 2025), we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We are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While we intend to vigorously defend our intellectual property rights protecting ORLADEYO, this matter is in the early stages of litigation and has been stayed until 2031, and no assessment can be made as to the likely outcome of this matter or whether it will be material to us. Accordingly, an estimate of the potential loss, or range of loss, if any, to us relating to this matter is not possible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 Additionally, while some of the factors, events and contingencies described herein may have occurred in the past, the disclosures herein are not representations as to whether or not they have occurred and are instead provided because future occurrences thereof could adversely affect us.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and Liquidity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achieve sustained profitability.</w:t>
      </w:r>
    </w:p>
    <w:p>
      <w:pPr>
        <w:pStyle w:val="TextBody"/>
        <w:bidi w:val="0"/>
        <w:spacing w:lineRule="auto" w:line="288" w:before="200" w:after="283"/>
        <w:ind w:left="0" w:right="0" w:firstLine="540"/>
        <w:jc w:val="left"/>
      </w:pPr>
      <w:r>
        <w:rPr>
          <w:rFonts w:ascii="Times New Roman;serif" w:hAnsi="Times New Roman;serif"/>
          <w:b w:val="false"/>
          <w:color w:val="000000"/>
          <w:sz w:val="20"/>
        </w:rPr>
        <w:t>Although we achieved net income on a U.S. GAAP basis for the year ended December 31, 2025 for the first time on an annual basis, we have not yet achieved sustained profitability. Our expectations as to the sustainability of our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sustained profitability, we, or our collaborative partners, must successfully manufacture and develop or acquire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(as defined in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the Condensed Consolidated Financial Statements in Part I, Item 1 of this report), may reduce the profitability of such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developing or acquiring product candidates, launching new products, and their potential for commercialization, we are unable to predict the extent of any potential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losses. Even though we have achieved profitability in a given reporting period, we may not be able to sustain or increase profitability on a quarterly or annual basis. For example, as a result of the accounting treatment for the Merger, we recorded a net loss on a U.S. GAAP basis for the quarter ended March 31, 2026, due to a special, non-cash charge related to the acquired in-process research and development asset for navenibart. If we are unable to achieve sustained profitability on our anticipated timeline, or at all, the market value of our common stock will likely decline.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need to raise additional capital or obtain additional financing in the future. If we are unable to raise capital or obtain additional financing if and when needed, we may need to adjust our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sustained operating losses for the majority of our corporate history. Even if we achieve sustained profitability, in order to continue future operations, progress any development programs, engage in strategic business development activities and commercialize our products, we may be required to raise additional capital or obtain additional financing in the future. In addition to seeking strategic partnerships and transactions, we may access the equity or debt markets, incur additional borrowings, or seek other sources of funding to meet liquidity needs at any time, including to take advantage of attractive opportunities in the capital markets. Additional funding, whether through additional sales or issuances of securities, additional borrowings,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Blackstone Loan Agreement. In addition, collaborative arrangements may require us to transfer certain material rights to our corporate partners. Insufficient funds or lack of an acceptable partnership have in the past, and may again in the future, require us to delay, scale-back or eliminate certain of our research and development programs.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our programs advance, our costs could increase.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sustained market acceptance of our products; our future business development activities; our ability to secure partnerships with third parties 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pStyle w:val="TextBody"/>
        <w:bidi w:val="0"/>
        <w:spacing w:lineRule="auto" w:line="288" w:before="200" w:after="283"/>
        <w:ind w:left="0" w:right="0" w:firstLine="540"/>
        <w:jc w:val="left"/>
      </w:pPr>
      <w:r>
        <w:rPr>
          <w:rFonts w:ascii="Times New Roman;serif" w:hAnsi="Times New Roman;serif"/>
          <w:b w:val="false"/>
          <w:color w:val="000000"/>
          <w:sz w:val="20"/>
        </w:rPr>
        <w:t>Our liquidity needs will largely be determined by the success of operations in regard to the commercialization of our products, particularly ORLADEYO, the progression of our product candidates, including the progress, timeline and ultimate outcome of our development programs (including, but not limited to, formulation progress, long-term human safety studies, clinical trial investigations, and carcinogenicity, drug-drug interaction, toxicity, or other required studies), as well as any post-approval studies for our products, and our ability to execute our budget plans.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Our current plans for managing our liquidity needs primarily include controlling the timing and spending on our research and development programs and commercializing our approved products. See “</w:t>
      </w:r>
      <w:r>
        <w:rPr>
          <w:rFonts w:ascii="Times New Roman;serif" w:hAnsi="Times New Roman;serif"/>
          <w:b w:val="false"/>
          <w:i/>
          <w:color w:val="000000"/>
          <w:sz w:val="20"/>
        </w:rPr>
        <w:t>Management’s Discussion and Analysis of Financial Condition and Results of Operations—Liquidity and Capital Resources</w:t>
      </w:r>
      <w:r>
        <w:rPr>
          <w:color w:val="000000"/>
        </w:rPr>
        <w:t xml:space="preserve">” </w:t>
      </w:r>
      <w:r>
        <w:rPr>
          <w:rFonts w:ascii="Times New Roman;serif" w:hAnsi="Times New Roman;serif"/>
          <w:b w:val="false"/>
          <w:color w:val="000000"/>
          <w:sz w:val="20"/>
        </w:rPr>
        <w:t>in Part I, Item 2 of this report for additional information about our liquidity needs, capital requirements, potential funding alternatives, and adequacy of available funds.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U.S. Government shutdowns, changes in presidential administration in the United States, geopolitical instability, actual or threatened public health emergencies, outbreaks of disease, epidemics or pandemics (such as the COVID-19 pandemic). Any such instability may impact these parties’ ability to fulfill contractual obligations to us, or it might limit or place burdensome conditions upon future transactions with us. Also, it is possible that suppliers may be negatively impacted as a result of economic and political instability.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which, if severe and sustained, could have a material and adverse impact on our results of operations and cash flows and limit our ability to continue development and commercialization of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pStyle w:val="TextBody"/>
        <w:bidi w:val="0"/>
        <w:spacing w:lineRule="auto" w:line="288" w:before="20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Relating to the Merger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anticipated benefits and synergies of the Merger may not be realized, and risks associated with Astria’s business, including the navenibart program, could adversely affect our business and financial results.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the Merger depends, in part, on our ability to realize the anticipated benefits, cost savings and synergies of the transaction. While we have generally completed the integration of Astria with our business, the benefits may not be realized fully or at all, may take longer to realize than expected, or may not offset transaction and integration expenses over time. An inability to realize the full extent of the anticipated benefits of the Merger could have an adverse effect on our revenues and expenses.</w:t>
      </w:r>
    </w:p>
    <w:p>
      <w:pPr>
        <w:pStyle w:val="TextBody"/>
        <w:bidi w:val="0"/>
        <w:spacing w:lineRule="auto" w:line="288" w:before="200" w:after="283"/>
        <w:ind w:left="0" w:right="0" w:firstLine="540"/>
        <w:jc w:val="left"/>
      </w:pPr>
      <w:r>
        <w:rPr>
          <w:rFonts w:ascii="Times New Roman;serif" w:hAnsi="Times New Roman;serif"/>
          <w:b w:val="false"/>
          <w:color w:val="000000"/>
          <w:sz w:val="20"/>
        </w:rPr>
        <w:t>Although we conducted due diligence on Astria before completing the Merger, we may not yet be aware of all material risks, liabilities or challenges associated with Astria’s business, including the navenibart program. Unexpected risks may arise, and previously known risks may materialize in a manner that differs from our preliminary risk assessments or assumptions. Any failure to realize the expected benefits of the Merger, any adverse effects from risks related to Astria’s business, or any effect of the Merger on our financial results that is inconsistent with the expectations of financial analysts or investors could</w:t>
      </w:r>
      <w:r>
        <w:rPr>
          <w:color w:val="000000"/>
        </w:rPr>
        <w:t xml:space="preserve"> </w:t>
      </w:r>
      <w:r>
        <w:rPr>
          <w:rFonts w:ascii="Times New Roman;serif" w:hAnsi="Times New Roman;serif"/>
          <w:b w:val="false"/>
          <w:color w:val="000000"/>
          <w:sz w:val="20"/>
        </w:rPr>
        <w:t>adversely affect our business and financial results.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Product Development and Commercialization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our business depends in part upon our ability to manage our product candidate pipeline, including through expanding the pipeline, as appropriate, through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In June 2026, we announced the Birmingham Closure Plan to discontinue our internal discovery programs as part of a strategic shift to focus on identifying and advancing high-value opportunities through external innovation. As a result of this decision, we will generally not be able to expand our pipeline with internal product candidates. Identifying, selecting, and in-licensing or acquiring products or product candidates requires substantial expense and technical and financial expertise, and if we are unable to effectively manage our pipeline, expand our portfolio of product candidates through acquisitions or in-licensing, or integrate viable products or product candidates into our business on acceptable terms, or at all, our business and product development efforts could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or biologic development, including failure to demonstrate efficacy, or for biologics, purity and potency,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for some product candidates, there may not be an ideal model for preclinical testing. We also cannot guarantee that any preclinical studies and clinical trials will be conducted as planned or completed on schedule, if at all, or that the results of such trials will be sufficient to support regulatory approval for our product candidates.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Progression of our product candidates through the clinical development process is dependent upon our trials indicating that our product candidates have adequate safety and efficacy or purity and potency in the patients being treated by achieving predetermined endpoints according to the clinical trial protocols, as well as an adequate benefit-risk profile. Failure to achieve any of these endpoints or to show adequate benefit-risk profile in any of our programs has in the past, and could again in the future, result in delays in, modifications to, or discontinuations of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have in the past, and could again in the future, later be found to be associated with or to cause undesirable or unexpected side effects that could result in substantial modifications or delays in the development plans for our product candidates, significant unexpected costs, or the termination of programs.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development plans for our product candidates, including our clinical trials,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such product candidates are unlikely to show favorable results in clinical trials, unlikely to help advance a product to the point of a meaningful collaboration, or unlikely to have reasonable commercial potential.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Undesirable or inconclusive data in our or our partners’ preclinical studies and clinical trials or side effects in humans could result in the FDA or foreign regulatory authorities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complete the clinical development process successfully is dependent upon many factors, including, but not limited to:</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or our partners’ ability to secure suitable clinical sites and investigators and to enroll and maintain an adequate number of patients on a timely basis or at all;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patients that enroll in a clinical trial may not comply with the clinical trial protocols or maintain contact with investigators to provide complete data during and after treatment;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product candidates may not prove to be either safe or effective for our targeted indications, or at all, or may produce unfavorable or inconclusive results;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evolving guidance, or findings of undesirable effects caused by a chemically or mechanistically similar product or product candidate;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regulatory authorities may disagree with our or our partners’ clinical trial protocols or our or their interpretation of data from preclinical studies and clinical trials;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clinical protocols or study procedures may not be adequately designed or followed by the investigators, including ensuring that all data is accurately recorded and reported;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formulation improvements may not work as expected, which could negatively impact commercial demand for our product candidates;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regulatory authorities may fail to approve or subsequently find fault with the manufacturing processes or facilities of third-party manufacturers with which we or our partners enter into agreements for clinical and commercial supplies;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or our partners’ development plans may be delayed or changed as a result of changes in development strategy, the impact of new or different regulations, requirements, and guidelines, or other unexpected events or conditions;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cost of preclinical studies and clinical trials may be greater than we anticipate;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impact of any global health epidemic or pandemic, such as COVID-19, on one or more of the foregoing factors.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development collaborations with third parties, such as our development partners, contractors and contract research organizations, fail, the development of our product candidates will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heavily upon third parties for many important stages of our product candidate development, including, but not limited to:</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discovery of natural proteins that cause or enable biological reactions necessary for the progression of the disease or disorder;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execution of certain pharmacology preclinical studies and late-stage development for our compounds and product candidates;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management of our phase 1, 2 and 3 clinical trials, including medical monitoring, laboratory testing, and data management;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execution of toxicology studies that may be required to obtain approval for our product candidates;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formulation improvement strategies and methods;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manufacturing the starting materials and drug substance required to formulate our products and the product candidates to be used in our clinical trials, toxicology studies and any potential commercial product;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provision of cell banks or cell line technologies;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management of certain regulatory interactions outside of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engage in successful collaborations at any one of these stages would greatly impact our business. If we do not license protein targets or inhibitors from academic institutions or from other biotechnology companies on acceptable terms, or at all, our product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of the foregoing risks is realized, our business, financial condition and results of operations could be materially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bidi w:val="0"/>
        <w:spacing w:lineRule="auto" w:line="288" w:before="200" w:after="283"/>
        <w:ind w:left="0" w:right="0" w:firstLine="540"/>
        <w:jc w:val="left"/>
      </w:pPr>
      <w:r>
        <w:rPr>
          <w:rFonts w:ascii="Times New Roman;serif" w:hAnsi="Times New Roman;serif"/>
          <w:b w:val="false"/>
          <w:color w:val="000000"/>
          <w:sz w:val="20"/>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w:t>
      </w:r>
      <w:r>
        <w:rPr>
          <w:rFonts w:ascii="Times New Roman;serif" w:hAnsi="Times New Roman;serif"/>
          <w:b w:val="false"/>
          <w:i/>
          <w:color w:val="000000"/>
          <w:sz w:val="20"/>
        </w:rPr>
        <w:t>Risk Factors—Risks Relating to Our Business—Risks Relating to Product Development and Commercialization—Our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r>
        <w:rPr>
          <w:rFonts w:ascii="Times New Roman;serif" w:hAnsi="Times New Roman;serif"/>
          <w:b w:val="false"/>
          <w:color w:val="000000"/>
          <w:sz w:val="20"/>
        </w:rPr>
        <w:t>,” we and our partners have experienced, and may again in the future</w:t>
      </w:r>
      <w:r>
        <w:rPr>
          <w:color w:val="000000"/>
        </w:rPr>
        <w:t xml:space="preserve"> </w:t>
      </w:r>
      <w:r>
        <w:rPr>
          <w:rFonts w:ascii="Times New Roman;serif" w:hAnsi="Times New Roman;serif"/>
          <w:b w:val="false"/>
          <w:color w:val="000000"/>
          <w:sz w:val="20"/>
        </w:rPr>
        <w:t>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pStyle w:val="TextBody"/>
        <w:bidi w:val="0"/>
        <w:spacing w:lineRule="auto" w:line="288" w:before="200" w:after="283"/>
        <w:ind w:left="0" w:right="0" w:firstLine="540"/>
        <w:jc w:val="left"/>
      </w:pPr>
      <w:r>
        <w:rPr>
          <w:rFonts w:ascii="Times New Roman;serif" w:hAnsi="Times New Roman;serif"/>
          <w:b w:val="false"/>
          <w:color w:val="000000"/>
          <w:sz w:val="20"/>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w:t>
      </w:r>
      <w:r>
        <w:rPr>
          <w:rFonts w:ascii="Times New Roman;serif" w:hAnsi="Times New Roman;serif"/>
          <w:b w:val="false"/>
          <w:i/>
          <w:color w:val="000000"/>
          <w:sz w:val="20"/>
        </w:rPr>
        <w:t>Risk Factors—Risks Relating to Our Business—Legal and Regulatory Risks—We are subject to various laws and regulations related to our products and product candidates, and if we or our partners do not comply with these laws and regulations, we could face substantial penalties</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focus primarily on rare diseases, which may create additional risks and challenges, including that the target patient populations of our products and product candidates may be small.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we focus primarily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w:t>
      </w:r>
    </w:p>
    <w:p>
      <w:pPr>
        <w:pStyle w:val="TextBody"/>
        <w:bidi w:val="0"/>
        <w:spacing w:lineRule="auto" w:line="288" w:before="200" w:after="283"/>
        <w:ind w:left="0" w:right="0" w:firstLine="540"/>
        <w:jc w:val="left"/>
      </w:pPr>
      <w:r>
        <w:rPr>
          <w:rFonts w:ascii="Times New Roman;serif" w:hAnsi="Times New Roman;serif"/>
          <w:b w:val="false"/>
          <w:color w:val="000000"/>
          <w:sz w:val="20"/>
        </w:rPr>
        <w:t>In addition, we do not know if, when, or how the FDA, Congress, or future judicial challenges may change the orphan drug regulations and policies in the future, and it is uncertain how any changes might affect our business. Depending on what changes the FDA may make to its orphan drug regulations and policies, our business could be adversely impacted. See “</w:t>
      </w:r>
      <w:r>
        <w:rPr>
          <w:rFonts w:ascii="Times New Roman;serif" w:hAnsi="Times New Roman;serif"/>
          <w:b w:val="false"/>
          <w:i/>
          <w:color w:val="000000"/>
          <w:sz w:val="20"/>
        </w:rPr>
        <w:t>Business—Government Regulation—FDA Regulation—Orphan Drug</w:t>
      </w:r>
      <w:r>
        <w:rPr>
          <w:rFonts w:ascii="Times New Roman;serif" w:hAnsi="Times New Roman;serif"/>
          <w:b w:val="false"/>
          <w:color w:val="000000"/>
          <w:sz w:val="20"/>
        </w:rPr>
        <w:t>s” in Part I, Item 1 of our most recent Annual Report on Form 10-K.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product development programs, and potential eligibility for rolling review or priority review. Even if we are successful in obtaining any such designations for our product candidates, such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 small number of patients who have the diseases that we are targeting, it is important to our ability to grow and sustain profitability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claims-based market research studies,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not maintain profitability or generate sufficient long-term revenue growth to sustain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drug products that receive marketing approval, or such authorities do not grant our products appropriate periods of data or market exclusivity before approving generic versions of our products, the sales of our products could be adversely affected.</w:t>
      </w:r>
    </w:p>
    <w:p>
      <w:pPr>
        <w:pStyle w:val="TextBody"/>
        <w:bidi w:val="0"/>
        <w:spacing w:lineRule="auto" w:line="288" w:before="200" w:after="283"/>
        <w:ind w:left="0" w:right="0" w:firstLine="540"/>
        <w:jc w:val="left"/>
      </w:pPr>
      <w:r>
        <w:rPr>
          <w:rFonts w:ascii="Times New Roman;serif" w:hAnsi="Times New Roman;serif"/>
          <w:b w:val="false"/>
          <w:color w:val="000000"/>
          <w:sz w:val="20"/>
        </w:rPr>
        <w:t>Once a new drug application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in Part I, Item 1 of our most recent Annual Report on Form 10-K.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before="0" w:after="0"/>
        <w:ind w:left="0" w:right="0" w:firstLine="540"/>
        <w:jc w:val="left"/>
      </w:pPr>
      <w:r/>
    </w:p>
    <w:p>
      <w:pPr>
        <w:pStyle w:val="TextBody"/>
        <w:bidi w:val="0"/>
        <w:spacing w:lineRule="auto" w:line="288" w:before="0" w:after="0"/>
        <w:ind w:left="0" w:right="0" w:firstLine="540"/>
        <w:jc w:val="left"/>
      </w:pPr>
      <w:r>
        <w:rPr>
          <w:rFonts w:ascii="Times New Roman;serif" w:hAnsi="Times New Roman;serif"/>
          <w:b w:val="false"/>
          <w:color w:val="000000"/>
          <w:sz w:val="20"/>
        </w:rPr>
        <w:t>The FDA may not approve an ANDA for a generic drug until any applicable period of non-patent exclusivity for the reference-listed drug has expired,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 xml:space="preserve">in Part I, Item 1 of our most recent Annual Report on Form 10-K,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 </w:t>
      </w:r>
    </w:p>
    <w:p>
      <w:pPr>
        <w:pStyle w:val="TextBody"/>
        <w:bidi w:val="0"/>
        <w:spacing w:before="0" w:after="0"/>
        <w:ind w:left="0" w:right="0" w:firstLine="54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Competition that our drug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pStyle w:val="TextBody"/>
        <w:bidi w:val="0"/>
        <w:spacing w:before="0" w:after="0"/>
        <w:ind w:left="0" w:right="0" w:firstLine="54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face competition from biosimilars, which may have a material adverse impact on the future commercial prospects of our biological products and product candidates. </w:t>
      </w:r>
    </w:p>
    <w:p>
      <w:pPr>
        <w:pStyle w:val="TextBody"/>
        <w:bidi w:val="0"/>
        <w:spacing w:before="0" w:after="0"/>
        <w:ind w:left="0" w:right="0" w:firstLine="540"/>
        <w:jc w:val="left"/>
      </w:p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are successful in achieving regulatory approval to commercialize a biological product candidate faster than our competitors, we may face competition from biosimilars with respect to our biological product candidates. In the United States, the Biologics Price Competition and Innovation Act (“BPCIA”) was included in the Affordable Care Act (“ACA”) and created an abbreviated approval pathway for biological products that are demonstrated to be “highly similar,” or biosimilar, to or “interchangeable” with an FDA-approved biological product. The BPCIA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BPCIA does not prevent another company from developing a product that is highly similar to the innovative product, generating its own data, and seeking approval.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law is complex and continues to evolve through ongoing FDA implementation and judicial interpretation. As a result, its ultimate impact, implementation and meaning are subject to uncertainty. Modification of the BPCIA, or changes to the interpretation or implementation of the BPCIA, could have a material adverse effect on the future commercial prospects for our biological products and product candidates. </w:t>
      </w:r>
    </w:p>
    <w:p>
      <w:pPr>
        <w:pStyle w:val="TextBody"/>
        <w:bidi w:val="0"/>
        <w:spacing w:before="0" w:after="0"/>
        <w:ind w:left="0" w:right="0" w:firstLine="720"/>
        <w:jc w:val="left"/>
      </w:p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competitors are able to obtain marketing approval for biosimilars referencing our biological products, our biological products may become subject to competition from such biosimilars, with the attendant competitive pressure and consequences which could adversely affect our business and financial results.</w:t>
      </w:r>
    </w:p>
    <w:p>
      <w:pPr>
        <w:pStyle w:val="TextBody"/>
        <w:bidi w:val="0"/>
        <w:spacing w:before="0" w:after="0"/>
        <w:ind w:left="0" w:right="0" w:firstLine="540"/>
        <w:jc w:val="left"/>
      </w:p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or our partners may be required to recall the product, change the way the product is administered, conduct additional clinical trials, or be subject to civil or criminal penalties;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product may become less competitive and our reputation may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successfully commercialize or establish collaborative relationships to commercialize or develop certain of our products and product candidates, or if any partner terminates or fails to perform its obligations under agreements with us, potential revenues from commercialization of our products could be reduced, delayed or eliminated.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successfully commercializing our products and developing our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Currently, we have established collaborative relationships including with, among others, third-party distributors for ORLADEYO in certain markets, with Torii for ORLADEYO in Japan, with Neopharmed for the commercialization of ORLADEYO and navenibart in Europe, and with each of Shionogi &amp; Co., Ltd. (“Shionogi”) and Green Cross Corporation for the development and commercialization of peramivir. In addition, in August 2025, Astria announced that it exclusively licensed development and commercialization rights in Japan to Kaken Pharmaceutical Co., Ltd. for navenibart. The process of establishing and implementing collaborative relationships is difficult, time-consuming and involves significant uncertainty, including: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we or our partners may seek to renegotiate or terminate our relationships due to unsatisfactory commercial, regulatory or clinical results, including post-approval clinical commitments, a change in business strategy, a change of control or other reasons;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contracts for collaborative arrangements may expire;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possibility that expiration or termination of collaborative relationships, such as those with certain of our distribution partners, may trigger repurchase obligations of the Company for unsold product held by our partners;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partners may choose to pursue alternative technologies, including those of our competitors;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have had in the past, and in the future may have, disputes with a partner that could lead to litigation or arbitration, which could result in substantial costs and divert the attention of our management;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do not have day-to-day control over the activities of our partners and have limited control over their decisions;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we or our partners may not devote sufficient capital or resources toward our products and product candidates;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partners may declare bankruptcy or face other financial distress that could put our partnership or collaborative arrangements at risk;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or our partners may not comply with applicable government regulatory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when or where needed,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results of our partnership with Torii may not meet our current expectations.</w:t>
      </w:r>
    </w:p>
    <w:p>
      <w:pPr>
        <w:pStyle w:val="TextBody"/>
        <w:bidi w:val="0"/>
        <w:spacing w:lineRule="auto" w:line="288" w:before="200" w:after="283"/>
        <w:ind w:left="0" w:right="0" w:firstLine="540"/>
        <w:jc w:val="left"/>
      </w:pPr>
      <w:r>
        <w:rPr>
          <w:rFonts w:ascii="Times New Roman;serif" w:hAnsi="Times New Roman;serif"/>
          <w:b w:val="false"/>
          <w:color w:val="000000"/>
          <w:sz w:val="20"/>
        </w:rPr>
        <w:t>We have a partnership agreement with Torii for ORLADEYO in Japan. Under our agreement with Torii,</w:t>
      </w:r>
      <w:r>
        <w:rPr>
          <w:color w:val="000000"/>
          <w:shd w:fill="FFFFFF" w:val="clear"/>
        </w:rPr>
        <w:t xml:space="preserve"> </w:t>
      </w:r>
      <w:r>
        <w:rPr>
          <w:rFonts w:ascii="Times New Roman;serif" w:hAnsi="Times New Roman;serif"/>
          <w:b w:val="false"/>
          <w:color w:val="000000"/>
          <w:sz w:val="20"/>
          <w:shd w:fill="FFFFFF" w:val="clear"/>
        </w:rPr>
        <w:t>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our or our partners’ commercialization efforts, methods and strategies will succeed or maintain success.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we or our partners may fail to complete clinical trials successfully, or satisfy post-marketing commitments, sufficient to obtain and maintain regulatory agency marketing approval;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many competitors are more experienced and have significantly more resources, and their products could reach the market faster, be more cost effective or have a better efficacy or tolerability profile than our products and product candidates;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may fail to employ a comprehensive and effective intellectual property strategy, which could result in the decreased commercial value of our Company, our products and product candidates, or royalties associated with such products;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may fail to employ a comprehensive and effective regulatory strategy, which could result in a delay or failure in commercialization of our products;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and our partners’ ability to successfully commercialize our products is affected by the competitive landscape;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revenue from product sales depends on our ability to obtain and maintain favorable pricing;</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reimbursement is constantly changing, which could greatly affect usage of our products;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future revenue from product sales will depend on our ability to successfully complete clinical studies, obtain regulatory approvals, and manufacture, market, distribute and commercialize our future approved products;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delays in regulatory approvals, product launches, initial shipments, or ongoing supply arising from manufacturing, formulation, or supply chain issues could impede our ability to meet commercial expectations; and</w:t>
      </w:r>
    </w:p>
    <w:p>
      <w:pPr>
        <w:pStyle w:val="TextBody"/>
        <w:bidi w:val="0"/>
        <w:spacing w:lineRule="auto" w:line="256" w:before="0" w:after="0"/>
        <w:ind w:left="0" w:right="0" w:hanging="360"/>
        <w:jc w:val="left"/>
      </w:pPr>
      <w:r>
        <w:rPr>
          <w:color w:val="000000"/>
        </w:rPr>
        <w:t>•</w:t>
      </w:r>
      <w:r>
        <w:rPr>
          <w:rFonts w:ascii="Times New Roman;serif" w:hAnsi="Times New Roman;serif"/>
          <w:b w:val="false"/>
          <w:color w:val="000000"/>
          <w:sz w:val="20"/>
        </w:rPr>
        <w:t>the impact of public health emergencies or the outbreak of disease, such as the COVID-19 pandemic, on us or our partners.</w:t>
      </w:r>
    </w:p>
    <w:p>
      <w:pPr>
        <w:pStyle w:val="TextBody"/>
        <w:bidi w:val="0"/>
        <w:spacing w:lineRule="auto" w:line="288" w:before="200" w:after="283"/>
        <w:ind w:left="0" w:right="0" w:firstLine="540"/>
        <w:jc w:val="left"/>
      </w:pPr>
      <w:r>
        <w:rPr>
          <w:rFonts w:ascii="Times New Roman;serif" w:hAnsi="Times New Roman;serif"/>
          <w:b w:val="false"/>
          <w:color w:val="000000"/>
          <w:sz w:val="20"/>
        </w:rPr>
        <w:t>In addition, future revenue from sales of ORLADEYO is subject to uncertainties and will depend on several factors, including, but not limited to,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our pricing strategy, competition and market trends</w:t>
      </w:r>
      <w:r>
        <w:rPr>
          <w:rFonts w:ascii="Times New Roman;serif" w:hAnsi="Times New Roman;serif"/>
          <w:b w:val="false"/>
          <w:color w:val="000000"/>
          <w:sz w:val="20"/>
          <w:shd w:fill="FFFFFF" w:val="clear"/>
        </w:rPr>
        <w:t xml:space="preserve">. Additionally, manufacturing </w:t>
      </w:r>
      <w:r>
        <w:rPr>
          <w:rFonts w:ascii="Times New Roman;serif" w:hAnsi="Times New Roman;serif"/>
          <w:b w:val="false"/>
          <w:color w:val="000000"/>
          <w:sz w:val="20"/>
        </w:rPr>
        <w:t>issues relating to our products could result in delays, interruptions or recalls in commercial supply, which could adversely affect our revenue and results of operations. For example, in May 2026, we announced that we identified a manufacturing issue affecting our oral pellet formulation of ORLADEYO that delayed our initial product fulfillment. The issue was resolved, and the week of August 3, 2026, we began shipping the ORLADEYO oral pellets in the United States to pediatric patients with HAE aged 2 to &lt;12 years.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experienced significant changes in the scope of our operations and capabilities. In addition, we may continue to change certain aspects of our business in connection with acquisitions, licenses, collaborations or other strategic business development activities. As a result, we may encounter difficulties in managing such changes, which could disrupt our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significant changes in the scope of our operations, and any future changes resulting from strategic business development opportunities may require us to further evolve our operational, managerial and financial capabilities. To manage such changes, we must continue to implement and improve our managerial, operational and financial systems and processes and recruit, train, and retain qualified personnel as needed. Due to our limited financial resources and the challenges associated with integrating and supporting new programs, technologies, personnel or business activities, we may not be able to effectively manage any future changes to our operations, implement appropriate systems and processes in a timely manner or at all, or recruit, train, and retain qualified personnel. The evolution of our operations, including as a result of acquisitions, licenses, collaborations or other strategic transactions, may lead to significant costs and may divert management and business development resources. In addition, if a commercial launch for any product or product candidate for which we establish commercial or marketing capabilities in any region is delayed or does not occur for any reason, we would have prematurely or unnecessarily incurred these commercialization expenses. Any inability to manage such changes could delay the execution of our business plans or disrupt our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distributors, and specialty pharmacies, each of which may be the only vendor we have engaged for a particular product, product candidate, or service or in a particular region, may encounter difficulties with meeting our requirements, including, but not limited to, problems involving, as applicable:</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insufficient resources being devoted in the manner necessary to satisfy our requirements within expected timeframes;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inconsistent production yields;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product liability claims or recalls of commercial product;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difficulties in scaling production to commercial and validation sizes;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interruption of the delivery of materials required for the manufacturing process;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failure to distribute commercial supplies of our products to commercial vendors or end users in a timely manner;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scheduling of plant time with other vendors or unexpected equipment failure;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potential catastrophes that could strike their facilities or have an effect on infrastructure;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potential impurities in our drug substance or products that could affect availability of product for our clinical trials or future commercialization;</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poor quality control and assurance or inadequate process controls;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failure to provide us with accurate or timely information regarding inventory, the number of patients who are using our products, or serious adverse events and/or product complaints regarding our products;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inability of third parties to satisfy their financial obligations to us or to others;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potential breach of the manufacturing or distribution agreement by the third party;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possible termination or non-renewal of an agreement by the third party at a time that is costly or inconvenient to us;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lack of compliance or cooperation with regulations and specifications or requests set forth by the FDA or other foreign regulatory agencies or local customs.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manufacturing pharmaceutical products, devices and, in particular, biologics, is complex, highly regulated, and subject to multiple risks. Manufacturing biologics is highly susceptible to product loss due to contamination, equipment failure, improper installation or operation of equipment, vendor or operator error, inconsistency in yields, variability in product characteristics, difficulties in scaling the production process and use of excipients which may, among other things, impact shelf life and present concerns with process or quality controls. Even minor deviations from normal manufacturing processes could result in reduced production yields, product defects, other supply disruptions and higher costs. If microbial, viral or other contaminations are discovered at the facilities of our third-party contract manufacturers, such facilities may need to be closed for an extended period of time to investigate and remedy the contamination, which could delay clinical trials, result in higher costs of drug product and adversely affect our business.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operated or managed, the continuance of our commercialization efforts for and sales of ORLADEYO may be delayed or compromised. On August 5, 2026, we announced that we transitioned to a new sole source specialty pharmacy provider for ORLADEYO shipments to patients. Any disruption, delay or failure associated with this transition, including interruptions in prescription processing, patient onboarding, reimbursement support or product distribution, could adversely affect our commercialization efforts and our product revenue. In addition, unlike our previous specialty pharmacy, our new specialty pharmacy purchases and holds inventory of ORLADEYO prior to dispensing it to patients. As a result, our quarterly product revenue may be affected by changes in the new specialty pharmacy’s inventory levels and ordering patterns, which may not reflect underlying patient demand in the early stages of the transition and may cause our product revenue to fluctuate from period to period until their inventory position is stabilized. For example, the initial inventory build by our new specialty pharmacy contributed an amount in the upper teens of millions of dollars to our product revenue in the third quarter of 2026.</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Additionally, if we are unable to timely establish an alternate supply from one or more third-party contract manufacturers, we could experience delays in our development efforts as we seek to locate and qualify new or additional manufacturers. For particular products, product candidates, services or particular regions where we rely on a single vendor, these and other related risks are exacerbated for us.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third-party manufacturers also may not meet our manufacturing requirements, which could result in a delay in approval, or rejection, of our marketing applications by the FDA or other regulatory authority. Furthermore, changes in the manufacturing process or procedures, including a change in the location where the drug is manufactured or a change of 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contract with a foreign contract manufacturing organization (“CMO”) in China for the manufacturing of certain of our product candidates. Foreign CMOs may be subject to U.S. legislation, including the BIOSECURE Act, sanctions, trade restrictions and other foreign regulatory requirements, which could increase the cost or reduce the supply of material available to us or delay the procurement or supply of such material.</w:t>
      </w:r>
    </w:p>
    <w:p>
      <w:pPr>
        <w:pStyle w:val="TextBody"/>
        <w:bidi w:val="0"/>
        <w:spacing w:lineRule="auto" w:line="288" w:before="200" w:after="283"/>
        <w:ind w:left="0" w:right="0" w:firstLine="540"/>
        <w:jc w:val="left"/>
      </w:pPr>
      <w:r>
        <w:rPr>
          <w:rFonts w:ascii="Times New Roman;serif" w:hAnsi="Times New Roman;serif"/>
          <w:b w:val="false"/>
          <w:color w:val="000000"/>
          <w:sz w:val="20"/>
        </w:rPr>
        <w:t>We have in the past and may from time to time in the future reassess our existing third</w:t>
        <w:noBreakHyphen/>
        <w:t>party vendor arrangements and determine that changes to one or more vendors are necessary, which could result in delays to development or commercialization. In addition, 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r>
        <w:rPr>
          <w:color w:val="000000"/>
        </w:rPr>
        <w:t xml:space="preserve"> </w:t>
      </w:r>
      <w:r>
        <w:rPr>
          <w:rFonts w:ascii="Times New Roman;serif" w:hAnsi="Times New Roman;serif"/>
          <w:b w:val="false"/>
          <w:color w:val="000000"/>
          <w:sz w:val="20"/>
        </w:rPr>
        <w:t>If we cannot rely on existing third-party vendors, including our third-party manufacturers, distributors, CROs, or specialty pharmacies, we will be required to incur significant costs and potential delays in finding new third-party vendors, which could adversely impact the development and commercialization timeframes for our products and product candidates and could negatively affect our business, financial results, and revenue.</w:t>
      </w:r>
    </w:p>
    <w:p>
      <w:pPr>
        <w:pStyle w:val="TextBody"/>
        <w:bidi w:val="0"/>
        <w:spacing w:lineRule="auto" w:line="288" w:before="200" w:after="283"/>
        <w:jc w:val="left"/>
      </w:pPr>
      <w:r>
        <w:rPr>
          <w:rFonts w:ascii="Times New Roman;serif" w:hAnsi="Times New Roman;serif"/>
          <w:b/>
          <w:i/>
          <w:color w:val="000000"/>
          <w:sz w:val="20"/>
        </w:rPr>
        <w:t>Commercialization of our products by us and our partners is subject to the potential commercialization risks described herein and numerous additional risks.</w:t>
      </w:r>
      <w:r>
        <w:rPr>
          <w:color w:val="000000"/>
        </w:rPr>
        <w:t xml:space="preserve"> </w:t>
      </w:r>
      <w:r>
        <w:rPr>
          <w:rFonts w:ascii="Times New Roman;serif" w:hAnsi="Times New Roman;serif"/>
          <w:b/>
          <w:i/>
          <w:color w:val="000000"/>
          <w:sz w:val="20"/>
        </w:rPr>
        <w:t>Any potential revenue benefits to us, including in the form of milestone payments, royalties or other consideration, are highly speculative.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Commercial success of our products is uncertain and is subject to all the risks and uncertainties disclosed in our other risk factors relating to product development and commercialization. In addition, commercialization of our products is subject to further risks and may be negatively impacted by a number of factors, including, but not limited to, the following:</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our products may not prove to be adequately safe and effective for market approval in markets other than the markets in which they are currently approved;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necessary funding for post-marketing commitments and further development of our products may not be available timely, at all, or in sufficient amounts;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advances in competing products could substantially replace potential demand for our products;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government and third-party payors may not provide sufficient coverage or reimbursement, which would negatively impact the demand for our products;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may not be able to supply commercial material, including supplying sufficient product to meet commercial demand, and we may not be able to maintain or establish sufficient and acceptable commercial manufacturing, either directly or through third-party manufacturers;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commercial demand for and acceptance of our products by healthcare providers and by patients may not be sufficient to result in substantial product revenues to us or to our partners and may result in little to no revenue, milestone payments, or royalties to us;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effectiveness of marketing and commercialization efforts for our products by us or our partners;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market satisfaction with existing alternative therapies;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perceived efficacy relative to other available therapies;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disease prevalence;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cost of treatment;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pricing and reimbursement strategy may not be effective;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new legislative or regulatory proposals may influence our pricing and reimbursement strategy, which could impact product revenues;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pricing and availability of imports or alternative products, including the potential for parallel importing;</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marketing and sales activities of competitors;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shifts in the medical community to new treatment paradigms or standards of care;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relative convenience and ease of administration.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Competing in Our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intense competition, and if we are unable to compete effectively, the demand for our products may be reduced.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Many of these competitors have greater resources than we do, including greater financial resources, larger research and development staffs and more experienced manufacturing, marketing, and sales organizations. In addition, many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and development and marketing of our product candidates from academic institutions, government agencies, research institutions and biotechnology and pharmaceutical companies. Competition may also arise from, among other things: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other product development technologies;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methods of preventing or reducing the incidence of disease, including vaccines;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new small molecule or other classes of therapeutic agents.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Developments by others may render our products, product candidates, or technologies obsolete or noncompetitive.</w:t>
      </w:r>
    </w:p>
    <w:p>
      <w:pPr>
        <w:pStyle w:val="TextBody"/>
        <w:bidi w:val="0"/>
        <w:spacing w:lineRule="auto" w:line="288" w:before="200" w:after="283"/>
        <w:ind w:left="0" w:right="0" w:firstLine="540"/>
        <w:jc w:val="left"/>
      </w:pPr>
      <w:r>
        <w:rPr>
          <w:rFonts w:ascii="Times New Roman;serif" w:hAnsi="Times New Roman;serif"/>
          <w:b w:val="false"/>
          <w:color w:val="000000"/>
          <w:sz w:val="20"/>
        </w:rPr>
        <w:t>We received FDA approval of ORLADEYO, an oral, once-daily therapy for the prevention of HAE attacks in adults and pediatric patients aged 12 years and older, in December 2020, and subsequently received regulatory approvals for ORLADEYO in other global markets. In December 2025, the FDA approved the use of an oral pellet formulation of once-daily ORLADEYO for prophylactic therapy in pediatric patients with HAE aged 2 to &lt;12 years, and in October 2026, the FDA approved the 150 mg oral pellet formulation of once-daily ORLADEYO for prophylactic therapy in adults and adolescents aged 12 years and older. Additionally, in August 2026, Japan’s Ministry of Health, Labor and Welfare granted marketing approval for ORLADEYO for prophylactic therapy in pediatric patients with HAE aged 2 to &lt;12 years. We are also performing research on or developing products for the treatment of other rare diseases, and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Various government entities throughout the world may also offer incentives, grants and contracts to encourage additional investment into certain preventative and therapeutic agents, which may have the effect of further increasing the number of our competitors and/or providing advantages to certain competitors. In addition, the approval of a generic drug or biosimilar of one of our products or a product with which we compete could have a material impact on our business because it may be significantly less costly to bring to market and may be priced significantly lower than our products or the other products with which we compete. See “</w:t>
      </w:r>
      <w:r>
        <w:rPr>
          <w:rFonts w:ascii="Times New Roman;serif" w:hAnsi="Times New Roman;serif"/>
          <w:b w:val="false"/>
          <w:i/>
          <w:color w:val="000000"/>
          <w:sz w:val="20"/>
        </w:rPr>
        <w:t>Business—Competition</w:t>
      </w:r>
      <w:r>
        <w:rPr>
          <w:color w:val="000000"/>
        </w:rPr>
        <w:t xml:space="preserve">” </w:t>
      </w:r>
      <w:r>
        <w:rPr>
          <w:rFonts w:ascii="Times New Roman;serif" w:hAnsi="Times New Roman;serif"/>
          <w:b w:val="false"/>
          <w:color w:val="000000"/>
          <w:sz w:val="20"/>
        </w:rPr>
        <w:t>in Part I, Item 1 of our most recent Annual Report on Form 10-K for further discussion of our competitors, competitive products or programs, and the competitive conditions in these and other therapeutic areas.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one or more of our competitors’ products or programs, including potential competitors not currently identified, are successful, the market for our products may be reduced or eliminated.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Compared to us, many of our competitors and potential competitors have substantially greater:</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capital resources;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research and development resources, including personnel and technology;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regulatory experience;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preclinical study and clinical testing experience;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manufacturing, marketing, and sales experience;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production facilities.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competitive factors could impede our funding efforts, render our products, product candidates, or technologies noncompetitive or eliminate or reduce demand for our products and product candidates.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Legal and Regulatory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various laws and regulations related to our products and product candidates, and if we or our partners do not comply with these laws and regulations, we could face substantial penalties.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the HHS, the Office of Inspector General, and state and local governments) and their foreign equivalents.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responsible for reporting adverse drug or biological product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to the federal Physician Payment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federal Physician Payment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and evolving FDA guidance. If we fail to comply with any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Advertising and promotion are subject to stringent oversight from the FDA and foreign regulators, and as a holder of an approved marketing application,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and these support services have increasingly become the focus of government investigation.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event information concerning approved products must be reviewed, and as a holder of an approved marketing application,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pStyle w:val="TextBody"/>
        <w:bidi w:val="0"/>
        <w:spacing w:lineRule="auto" w:line="288" w:before="200" w:after="283"/>
        <w:ind w:left="0" w:right="0" w:firstLine="540"/>
        <w:jc w:val="left"/>
      </w:pPr>
      <w:r>
        <w:rPr>
          <w:rFonts w:ascii="Times New Roman;serif" w:hAnsi="Times New Roman;serif"/>
          <w:b w:val="false"/>
          <w:color w:val="000000"/>
          <w:sz w:val="20"/>
        </w:rPr>
        <w:t>If our operations with respect to our products that are subject to healthcare laws and regulations are found to be in violation of any of the healthcare fraud and abuse laws described above or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our most recent Annual Report on Form 10-K or any other governmental regulations that apply to us, we may be subject to liability and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before="0" w:after="0"/>
        <w:jc w:val="left"/>
      </w:pPr>
      <w:r/>
    </w:p>
    <w:p>
      <w:pPr>
        <w:pStyle w:val="TextBody"/>
        <w:bidi w:val="0"/>
        <w:spacing w:lineRule="auto" w:line="288" w:before="0" w:after="0"/>
        <w:ind w:left="0" w:right="0" w:firstLine="540"/>
        <w:jc w:val="left"/>
      </w:pPr>
      <w:r>
        <w:rPr>
          <w:rFonts w:ascii="Times New Roman;serif" w:hAnsi="Times New Roman;serif"/>
          <w:b w:val="false"/>
          <w:color w:val="000000"/>
          <w:sz w:val="20"/>
        </w:rPr>
        <w:t>The policies of the FDA and other regulatory authorities may change, including as a result of changes in presidential administration of the United States, and additional government regulations or executive orders may be enacted that could prevent, limit or delay regulatory approval of our product candidates, change our continuing compliance obligations, impact our product pricing and/or revenues, affect our supply chain or otherwise adversely affect our business. If we are slow or unable to adapt to changes in existing requirements or the adoption of new requirements or policies, or if we are not able to maintain regulatory compliance, we may lose any marketing approval that we may have obtained, we may not be able to obtain new marketing approvals, and we may not achieve sustained profitability. In addition, significant tariffs, trade measures or other restrictions imposed and related countermeasures taken by impacted foreign countries could adversely affect our operations and financial results.</w:t>
      </w:r>
      <w:r>
        <w:rPr>
          <w:color w:val="212529"/>
          <w:shd w:fill="FFFFFF" w:val="clear"/>
        </w:rPr>
        <w:t xml:space="preserve"> </w:t>
      </w:r>
      <w:r>
        <w:rPr>
          <w:rFonts w:ascii="Times New Roman;serif" w:hAnsi="Times New Roman;serif"/>
          <w:b w:val="false"/>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lineRule="auto" w:line="288" w:before="200" w:after="283"/>
        <w:ind w:left="0" w:right="0" w:firstLine="540"/>
        <w:jc w:val="left"/>
      </w:pPr>
      <w:r>
        <w:rPr>
          <w:rFonts w:ascii="Times New Roman;serif" w:hAnsi="Times New Roman;serif"/>
          <w:b w:val="false"/>
          <w:color w:val="000000"/>
          <w:sz w:val="20"/>
        </w:rPr>
        <w:t xml:space="preserve">In June 2024, the Supreme Court overruled the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which had given deference to regulatory agencies’ statutory interpretations of ambiguous regulations in litigation against federal government agencies, such as the FDA. The overruling of the </w:t>
      </w:r>
      <w:r>
        <w:rPr>
          <w:rFonts w:ascii="Times New Roman;serif" w:hAnsi="Times New Roman;serif"/>
          <w:b w:val="false"/>
          <w:i/>
          <w:color w:val="000000"/>
          <w:sz w:val="20"/>
        </w:rPr>
        <w:t xml:space="preserve">Chevron </w:t>
      </w:r>
      <w:r>
        <w:rPr>
          <w:rFonts w:ascii="Times New Roman;serif" w:hAnsi="Times New Roman;serif"/>
          <w:b w:val="false"/>
          <w:color w:val="000000"/>
          <w:sz w:val="20"/>
        </w:rPr>
        <w:t>doctrine may significantly increase the number of challenges brought by companies and other stakeholders against federal agencies such as the FDA and its longstanding decisions and policies,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 under the new leadership at HHS under the current administration, agency reorganization, mass layoffs due to the reduction in force initiative and other measures may impact the normal operations of the FDA as well as other federal agencies. FDA may lack adequate staff and resources to meet current review, approval, and inspection schedules, which could delay our anticipated timelines. Recent developments at the FDA include announcement of a plan to phase out animal testing for monoclonal antibodies and certain other drugs, the proposed rare disease evidence principles (RDEP) program to facilitate approval of drugs to treat rare diseases with very small patient populations with significant unmet medical need and with a known genetic defect that is the major driver of the pathophysiology, and the announcement of a new Commissioner’s National Priority Voucher program for companies supporting certain U.S. national health priorities and interests. To the extent our competitors are selected for this new voucher pilot program, or are otherwise able to participate in any of these initiatives intended to accelerate drug development and application review, and obtain faster approval than us, our competitive position may be harmed. The FDA has also increased its scrutiny of foreign drug manufacturing facilities and other contractors based in China, especially with respect to the transfer of biological materials, genetic data, and other sensitive data of U.S. patients to parties located in China. It is unclear how our industry and our clinical programs will be impacted by policies and regulations implemented under the current administration and FDA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leadership, or other executive orders. There is significant uncertainty in the industry and how federal agencies like the FDA will change in the coming years under the current administration. To the extent the agency reorganization and other agency changes lead to disruptions in the FDA’s operations, our correspondence and regulatory review processes with the FDA may be materially delayed.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employees, consultants and partners may engage in misconduct or other improper activities, including non-compliance with regulatory standards and requirements, which could cause significant liability for us and harm our reputation.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lineRule="auto" w:line="288" w:before="200" w:after="283"/>
        <w:jc w:val="left"/>
      </w:pPr>
      <w:r>
        <w:rPr>
          <w:rFonts w:ascii="Times New Roman;serif" w:hAnsi="Times New Roman;serif"/>
          <w:b/>
          <w:i/>
          <w:color w:val="000000"/>
          <w:sz w:val="20"/>
        </w:rPr>
        <w:t>We and our partners may be subject to new legislation, regulatory proposals and healthcare payor initiatives that may increase our costs of compliance and adversely affect our or our partners</w:t>
      </w:r>
      <w:r>
        <w:rPr>
          <w:color w:val="000000"/>
        </w:rPr>
        <w:t xml:space="preserve">’ </w:t>
      </w:r>
      <w:r>
        <w:rPr>
          <w:rFonts w:ascii="Times New Roman;serif" w:hAnsi="Times New Roman;serif"/>
          <w:b/>
          <w:i/>
          <w:color w:val="000000"/>
          <w:sz w:val="20"/>
        </w:rPr>
        <w:t>ability to commercialize our products or develop our product candidates.</w:t>
      </w:r>
    </w:p>
    <w:p>
      <w:pPr>
        <w:pStyle w:val="TextBody"/>
        <w:bidi w:val="0"/>
        <w:spacing w:lineRule="auto" w:line="288" w:before="200" w:after="283"/>
        <w:ind w:left="0" w:right="0" w:firstLine="540"/>
        <w:jc w:val="left"/>
      </w:pPr>
      <w:r>
        <w:rPr>
          <w:rFonts w:ascii="Times New Roman;serif" w:hAnsi="Times New Roman;serif"/>
          <w:b w:val="false"/>
          <w:color w:val="000000"/>
          <w:sz w:val="20"/>
        </w:rPr>
        <w:t>We are subject to new legislation, regulatory, and healthcare payor initiatives, including the Patient Protection and Affordable Care Act (“PPACA”), which made extensive changes to the delivery of healthcare in the United States, as discussed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manufacturers and other entities in the drug supply chain to track and trace each prescription drug at the saleable unit level through the distribution system. The FDA has finalized and proposed regulations implementing such requirements at a federal level. Our compliance with these requirements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reduced the out-of-pocket spending cap for Medicare Part D beneficiaries to $2,100 in 2026;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U.S. Government took various steps, both legislative and executive, intended to lower the cost of prescription drugs. The President issued multiple executive orders and took other steps to secure pharmaceutical manufacturers’ agreements to lower certain U.S. prescription drug prices to most favored nation levels, to facilitate direct-to-patient sales of certain U.S. prescription drugs, and to secure agreements to repatriate increased ex-U.S. revenues generated as a result of U.S. Government action that increases drug prices outside the United States. On July 4, 2025, the One Big Beautiful Bill Act (“OBBBA”) was signed into law in the United States. The OBBBA contains a variety of provisions that could impact our business and results of operations. On January 15, 2026, the White House proposed that Congress enact the Great Healthcare Plan Act, which seeks to lower prescription drug and insurance prices. Multiple U.S. states have also enacted legislation intended to decrease the price of prescription drugs.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be sure whether additional legislation or rule-making related to the IRA or drug pricing more generally will be issued or enacted, how insurance pharmacy benefit managers and other insurance providers that manage benefits for Medicare recipients will react to the IRA, or what impact, if any, such additional changes will have on the insurance coverage and profitability of our products or any of our product candidates, if approved for commercial use, in the future. The full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data privacy and security risks, and our actual or perceived failure to comply with regulations and other legal obligations related to privacy and data protection could harm our business.</w:t>
      </w:r>
    </w:p>
    <w:p>
      <w:pPr>
        <w:pStyle w:val="TextBody"/>
        <w:bidi w:val="0"/>
        <w:spacing w:lineRule="auto" w:line="288" w:before="200" w:after="283"/>
        <w:ind w:left="0" w:right="0" w:firstLine="540"/>
        <w:jc w:val="left"/>
      </w:pPr>
      <w:r>
        <w:rPr>
          <w:rFonts w:ascii="Times New Roman;serif" w:hAnsi="Times New Roman;serif"/>
          <w:b w:val="false"/>
          <w:color w:val="000000"/>
          <w:sz w:val="20"/>
        </w:rPr>
        <w:t>We may be subject to legal obligations at the international, federal, state, and local level related to privacy and data protection, as described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Compliance with stringent and evolving international and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pStyle w:val="TextBody"/>
        <w:bidi w:val="0"/>
        <w:spacing w:lineRule="auto" w:line="288" w:before="200" w:after="283"/>
        <w:ind w:left="0" w:right="0" w:firstLine="540"/>
        <w:jc w:val="left"/>
      </w:pPr>
      <w:r>
        <w:rPr>
          <w:rFonts w:ascii="Times New Roman;serif" w:hAnsi="Times New Roman;serif"/>
          <w:b w:val="false"/>
          <w:color w:val="000000"/>
          <w:sz w:val="20"/>
        </w:rPr>
        <w:t>We also may be subject to international privacy and data protection laws, such as the General Data Protection Regulation (“GDPR”) in the European Economic Area (“EEA”) and similar legislation in the United Kingdom and Switzerland. See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and “</w:t>
      </w:r>
      <w:r>
        <w:rPr>
          <w:rFonts w:ascii="Times New Roman;serif" w:hAnsi="Times New Roman;serif"/>
          <w:b w:val="false"/>
          <w:i/>
          <w:color w:val="000000"/>
          <w:sz w:val="20"/>
        </w:rPr>
        <w:t>Risks Relating to Our Business—Risks Relating to International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pPr>
      <w:r>
        <w:rPr>
          <w:rFonts w:ascii="Times New Roman;serif" w:hAnsi="Times New Roman;serif"/>
          <w:b w:val="false"/>
          <w:i/>
          <w:color w:val="000000"/>
          <w:sz w:val="20"/>
        </w:rPr>
        <w:t>Our actual or perceived failure to comply with European or other international governmental laws and regulations and other legal obligations related to privacy, data protection and information security could harm our business</w:t>
      </w:r>
      <w:r>
        <w:rPr>
          <w:color w:val="000000"/>
        </w:rPr>
        <w:t xml:space="preserve">” </w:t>
      </w:r>
      <w:r>
        <w:rPr>
          <w:rFonts w:ascii="Times New Roman;serif" w:hAnsi="Times New Roman;serif"/>
          <w:b w:val="false"/>
          <w:color w:val="000000"/>
          <w:sz w:val="20"/>
        </w:rPr>
        <w:t>in this section for additional discussion of privacy laws and regulations. Failure to comply with these laws and regulations could result in government enforcement actions, private litigation, or harm to our reputation and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because of our use of hazardous materials, we violate any environmental controls or regulations that apply to such materials, we may incur substantial costs and expenses in our remediation efforts.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Intellectual Property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adequately protect or enforce our intellectual property rights, the value of those rights would diminish, and if we fail to secure the rights to patents of others, it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and the abilities of our partners to obtain, protect and enforce viable intellectual property rights including, but not limited to, trade name, trademark and patent protection for our Company and subsidiaries and the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involved in legal proceedings to protect or enforce our patents, the patents of our partners or our other intellectual property rights, which could be expensive, time-consuming and unsuccessful.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or otherwise violate our patents, the patents of our licensors or our other intellectual property rights, or may design around our patent claims to produce competitive products that fall outside the scope of our patents. For example, a third party may develop a competitive drug that is similar to one or more of our products or product candidates but that has a different composition that falls outside the scope of our patent protection. To counter infringement or unauthorized use, we may be required to file legal claims, which can be expensive, time-consuming, and unsuccessful.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after the earliest effective filing date,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bidi w:val="0"/>
        <w:spacing w:lineRule="auto" w:line="288" w:before="200" w:after="283"/>
        <w:ind w:left="0" w:right="0" w:firstLine="540"/>
        <w:jc w:val="left"/>
      </w:pPr>
      <w:r>
        <w:rPr>
          <w:rFonts w:ascii="Times New Roman;serif" w:hAnsi="Times New Roman;serif"/>
          <w:b w:val="false"/>
          <w:color w:val="000000"/>
          <w:sz w:val="20"/>
        </w:rPr>
        <w:t>In addition, as described under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in Part I, Item 1 of our most recent Annual Report on Form 10-K, third parties may not file an ANDA for a generic drug with the FDA until the expiration of five years following the original product approval unless the submission is accompanied by a Paragraph IV certification, in which case third parties may submit an ANDA four years following the original product approval (referred to as the “NCE-1 date”). The NCE-1 date for ORLADEYO was in December 2024. In January 2025 and January 2026, we received a Paragraph IV notice of certification from Annora advising that Annora has submitted an ANDA to the FDA seeking approval to manufacture, use or sell a generic version of ORLADEYO in the United States prior to the expiration of four patents listed in the FDA’s Orange Book, which expire in May 2040</w:t>
      </w:r>
      <w:r>
        <w:rPr>
          <w:rFonts w:ascii="Times New Roman;serif" w:hAnsi="Times New Roman;serif"/>
          <w:b w:val="false"/>
          <w:color w:val="000000"/>
          <w:sz w:val="20"/>
          <w:shd w:fill="FFFFFF" w:val="clear"/>
        </w:rPr>
        <w:t>. On March 10, 2025, as supplemented by the First Amended Complaint filed in December 2025, we ﬁled a patent infringement lawsuit in the United States District Court for the District of Delaware against the Defendants (as defined in “</w:t>
      </w:r>
      <w:r>
        <w:rPr>
          <w:rFonts w:ascii="Times New Roman;serif" w:hAnsi="Times New Roman;serif"/>
          <w:b w:val="false"/>
          <w:i/>
          <w:color w:val="000000"/>
          <w:sz w:val="20"/>
          <w:shd w:fill="FFFFFF" w:val="clear"/>
        </w:rPr>
        <w:t>Legal Proceedings</w:t>
      </w:r>
      <w:r>
        <w:rPr>
          <w:color w:val="000000"/>
          <w:shd w:fill="FFFFFF" w:val="clear"/>
        </w:rPr>
        <w:t xml:space="preserve">” </w:t>
      </w:r>
      <w:r>
        <w:rPr>
          <w:rFonts w:ascii="Times New Roman;serif" w:hAnsi="Times New Roman;serif"/>
          <w:b w:val="false"/>
          <w:color w:val="000000"/>
          <w:sz w:val="20"/>
          <w:shd w:fill="FFFFFF" w:val="clear"/>
        </w:rPr>
        <w:t xml:space="preserve">included in Part II, Item 1 of this report) asserting infringement of the challenged patents arising from Annora’s ANDA filing with the FDA. </w:t>
      </w:r>
      <w:r>
        <w:rPr>
          <w:rFonts w:ascii="Times New Roman;serif" w:hAnsi="Times New Roman;serif"/>
          <w:b w:val="false"/>
          <w:color w:val="000000"/>
          <w:sz w:val="20"/>
        </w:rPr>
        <w:t xml:space="preserve">For further information, </w:t>
      </w:r>
      <w:r>
        <w:rPr>
          <w:rFonts w:ascii="Times New Roman;serif" w:hAnsi="Times New Roman;serif"/>
          <w:b w:val="false"/>
          <w:color w:val="000000"/>
          <w:sz w:val="20"/>
          <w:shd w:fill="FFFFFF" w:val="clear"/>
        </w:rPr>
        <w:t>see the section titled “</w:t>
      </w:r>
      <w:r>
        <w:rPr>
          <w:rFonts w:ascii="Times New Roman;serif" w:hAnsi="Times New Roman;serif"/>
          <w:b w:val="false"/>
          <w:i/>
          <w:color w:val="000000"/>
          <w:sz w:val="20"/>
          <w:shd w:fill="FFFFFF" w:val="clear"/>
        </w:rPr>
        <w:t>Legal Proceedings</w:t>
      </w:r>
      <w:r>
        <w:rPr>
          <w:color w:val="000000"/>
          <w:shd w:fill="FFFFFF" w:val="clear"/>
        </w:rPr>
        <w:t xml:space="preserve">” </w:t>
      </w:r>
      <w:r>
        <w:rPr>
          <w:rFonts w:ascii="Times New Roman;serif" w:hAnsi="Times New Roman;serif"/>
          <w:b w:val="false"/>
          <w:color w:val="000000"/>
          <w:sz w:val="20"/>
          <w:shd w:fill="FFFFFF" w:val="clear"/>
        </w:rPr>
        <w:t xml:space="preserve">included in Part II, Item 1 of this report </w:t>
      </w:r>
      <w:r>
        <w:rPr>
          <w:rFonts w:ascii="Times New Roman;serif" w:hAnsi="Times New Roman;serif"/>
          <w:b w:val="false"/>
          <w:color w:val="000000"/>
          <w:sz w:val="20"/>
        </w:rPr>
        <w:t>and “</w:t>
      </w:r>
      <w:r>
        <w:rPr>
          <w:rFonts w:ascii="Times New Roman;serif" w:hAnsi="Times New Roman;serif"/>
          <w:b w:val="false"/>
          <w:i/>
          <w:color w:val="000000"/>
          <w:sz w:val="20"/>
        </w:rPr>
        <w:t>Note 15—Commitments and Contingencies”</w:t>
      </w:r>
      <w:r>
        <w:rPr>
          <w:color w:val="000000"/>
        </w:rPr>
        <w:t xml:space="preserve"> </w:t>
      </w:r>
      <w:r>
        <w:rPr>
          <w:rFonts w:ascii="Times New Roman;serif" w:hAnsi="Times New Roman;serif"/>
          <w:b w:val="false"/>
          <w:color w:val="000000"/>
          <w:sz w:val="20"/>
        </w:rPr>
        <w:t>in the Notes to the Condensed Consolidated Financial Statements in Part I, Item 1 of this report. We intend to vigorously defend our intellectual property rights protecting ORLADEYO. Additional third parties could challenge our applicable patents, which may result in our initiation of patent infringement litigation in response to such challenge. We cannot predict how any additional third party would address our listed patents, whether we would sue on any such patents, or the outcome of any such suit. However, litigation to enforce or defend intellectual property rights is complex, costly, and involves significant commitments of management’s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the degree and range of protection any patents will afford against competitors with similar products;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if and when patents will issue;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if patents do issue, we cannot be sure that we will be able to adequately defend such patents and whether or not we will be able to adequately enforce such patents; or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whether or not others will obtain patents claiming aspects similar to those covered by our patent applications.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USPTO or other foreign patent office upholds patents issued to others or if the USPTO grants patent applications filed by others, we may have to:</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obtain licenses or redesign our products or processes to avoid infringement;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stop using the subject matter claimed in those patents; or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pay damages.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also dependent in part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have diversified our pipeline to include the development of protein therapeutics, which may create additional risks and challenges.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diversified our pipeline beyond small-molecule medicines to develop protein therapeutics. The development of protein therapeutics may create additional risks and challenges, including, among others:</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formulation issues with our protein therapeutic candidates may require redevelopment of the formulation, which may be time-consuming or unsuccessful;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patent applications that we own or in-license may fail to result in issued patents with claims that cover our protein therapeutic candidates in the United States or in other countries;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competitors may be able to more easily develop and seek patent protection on similar protein therapeutic candidates;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 product candidates are targeting.</w:t>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Product Liability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liabilities that substantially exceed our product liability insurance, which we would then be required to pay from other sources, if available;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an increase of our product liability insurance rates or the inability to maintain insurance coverage in the future on acceptable terms, or at all;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withdrawal of clinical trial volunteers or patients;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damage to our reputation and the reputation of our products, resulting in lower sales;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regulatory investigations that could require costly recalls or product modifications;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litigation costs;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diversion of management’s attention from managing our business.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Contractual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2011, JPR Royalty Sub LLC, our wholly 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Royalty Sub continues to pay the holders of the PhaRMA Notes any royalty payments received from Shionogi, which are immaterial, we wrote off the balance due under the PhaRMA Notes to other income as a debt extinguishment as of December 31, 2021.</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significant indebtedness, which could adversely affect our business. Additionally, the Blackstone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23, 2026, we entered into the Blackstone Loan Agreement, pursuant to which the lenders funded initial term loans in the aggregate principal amount of $400.0 million. Subject to the mutual agreement between the Company, Blackstone and the lenders, we may request additional term loans up to an aggregate amount not exceeding $150.0 million. Under the Blackstone Loan Agreement, we will be required to pay to the lenders a prepayment premium or a make-whole premium, as applicable, in the event that, prior to the fourth anniversary of the closing date of the Blackstone Loan Agreement, we prepay or repay, or are required to prepay or repay, voluntarily or pursuant to a mandatory prepayment obligation under the Blackstone Loan Agreement (e.g., upon certain asset sales, a change of control of the Company and specified other events, subject to certain exceptions), all or part of the then-outstanding term loans under the Blackstone Loan Agreement, in each case, subject to certain exceptions as set forth in the Blackstone Loan Agreement.</w:t>
      </w:r>
    </w:p>
    <w:p>
      <w:pPr>
        <w:pStyle w:val="TextBody"/>
        <w:bidi w:val="0"/>
        <w:spacing w:before="0" w:after="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indebtedness could have important consequences to our stockholders. For example, it:</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increases our vulnerability to adverse general economic or industry conditions;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limits our flexibility in planning for, or reacting to, changes in our business or the industry in which we operate;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makes us more vulnerable to increases in interest rates, as borrowings under the Blackstone Loan Agreement will accrue interest at variable rates, such that increases in interest rates will increase the associated interest payments that we are required to make on outstanding borrowings;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requires us to dedicate a portion of our cash flow from operations to interest payments and a covenant to maintain minimum liquidity levels, limiting the availability of cash for other purposes;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limits our ability to obtain additional financing or refinancing in the future for working capital or other purposes;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places us at a competitive disadvantage compared to our competitors that have less indebtedness.</w:t>
      </w:r>
    </w:p>
    <w:p>
      <w:pPr>
        <w:pStyle w:val="TextBody"/>
        <w:bidi w:val="0"/>
        <w:spacing w:before="0" w:after="0"/>
        <w:jc w:val="left"/>
      </w:pPr>
      <w:r/>
    </w:p>
    <w:p>
      <w:pPr>
        <w:pStyle w:val="TextBody"/>
        <w:bidi w:val="0"/>
        <w:spacing w:lineRule="auto" w:line="288" w:before="0" w:after="0"/>
        <w:ind w:left="0" w:right="0" w:firstLine="547"/>
        <w:jc w:val="left"/>
      </w:pPr>
      <w:r>
        <w:rPr>
          <w:rFonts w:ascii="Times New Roman;serif" w:hAnsi="Times New Roman;serif"/>
          <w:b w:val="false"/>
          <w:color w:val="000000"/>
          <w:sz w:val="20"/>
        </w:rPr>
        <w:t>Furthermore, the Blackstone Loan Agreement contains covenants that limit our ability to engage in specified types of transactions. Subject to certain exceptio</w:t>
      </w:r>
      <w:r>
        <w:rPr>
          <w:rFonts w:ascii="Times New Roman;serif" w:hAnsi="Times New Roman;serif"/>
          <w:b w:val="false"/>
          <w:color w:val="000000"/>
          <w:sz w:val="20"/>
          <w:shd w:fill="FFFFFF" w:val="clear"/>
        </w:rPr>
        <w:t>ns, these covenants limit our ability to, among other things, dispose of assets; engage in certain mergers, acquisitions, and similar</w:t>
      </w:r>
      <w:r>
        <w:rPr>
          <w:color w:val="000000"/>
        </w:rPr>
        <w:t xml:space="preserve"> </w:t>
      </w:r>
      <w:r>
        <w:rPr>
          <w:rFonts w:ascii="Times New Roman;serif" w:hAnsi="Times New Roman;serif"/>
          <w:b w:val="false"/>
          <w:color w:val="000000"/>
          <w:sz w:val="20"/>
        </w:rPr>
        <w:t>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The covenants contained in the Blackstone Loan Agreement could cause us to be unable to pursue business opportunities that we or our stockholders may consider beneficial without the lenders’ permission or without repaying all outstanding obligations under the Blackstone Loan Agreement.</w:t>
      </w:r>
    </w:p>
    <w:p>
      <w:pPr>
        <w:pStyle w:val="TextBody"/>
        <w:bidi w:val="0"/>
        <w:spacing w:before="0" w:after="0"/>
        <w:jc w:val="left"/>
      </w:pPr>
      <w:r/>
    </w:p>
    <w:p>
      <w:pPr>
        <w:pStyle w:val="TextBody"/>
        <w:bidi w:val="0"/>
        <w:spacing w:lineRule="auto" w:line="288" w:before="0" w:after="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A breach of any of these covenants could result in an event of default under the Blackstone Loan Agreement. An event of default will also occur if, among other things, we fail to pay amounts due under the Blackstone Loan Agreement, we fail to repay certain other indebtedness having an aggregate principal amount in excess of a threshold amount, an insolvency event occurs with respect to us, judgments for the payment of money in excess of a threshold amount are entered into against us, or a material impairment of our ability to perform our obligations under the Blackstone Loan Agreement occurs or certain negative regulatory events occur. In the case of a continuing event of default under the Blackstone Loan Agreement, the lenders under the Blackstone Loan Agreement could elect to declare all amounts outstanding to be immediately due and payable, proceed against the collateral in which we granted to the lenders a security interest, or otherwise exercise the rights of a secured creditor. Amounts outstanding under the Blackstone Loan Agreement are secured by a security interest in, subject to certain exceptions, substantially all of our assets. Because substantially all of our assets are pledged to secure the Blackstone Loan Agreement obligations, our ability to incur additional secured indebtedness or to sell or dispose of assets to raise capital may be impaired, which could have an adverse effect on our financial flexibility.</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International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International expansion of our business exposes us to business, legal, regulatory, political, operational, financial, and economic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conduct clinical studies and regulatory activities and have hired employees outside of the United States. Doing business internationally involves a number of risks, including, but not limited to:</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introduction of new health authority requirements and/or changes in health authority expectations;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failure by us or our partners to obtain and maintain regulatory approvals for the use of our products in various countries;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potential for parallel importing;</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complexities and difficulties in obtaining and maintaining protection for, and enforcing, our intellectual property;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complexities associated with managing multiple payor reimbursement regimes, government payors, or patient self-pay systems;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limits on our ability to penetrate international markets;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natural disasters and political and economic instability, including wars, terrorism, political unrest, results of certain elections and votes, actual or threatened public health emergencies and outbreak of disease, epidemics or pandemics (e.g., the COVID-19 pandemic), boycotts, adoption or expansion of government trade restrictions, and other business restrictions;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certain expenses including, among others, expenses for travel, translation, and insurance;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and foreign laws and regulations;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regulatory and compliance risks relating to doing business with any entity that is subject to sanctions administered by the Office of Foreign Assets Control of the U.S. Department of the Treasury.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could significantly harm our international expansion of operations and adversely affect our business and results of operations. Additionally, in some countries, such as Japan, the pricing of prescription pharmaceuticals is subject to governmental control and access. In these countries, pricing negotiations with governmental authorities can take considerable time after the receipt of marketing approval for a product. To obtain reimbursement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exchange rate fluctuations could have an adverse impact on our results of operations, financial position, and cash flows.</w:t>
      </w:r>
    </w:p>
    <w:p>
      <w:pPr>
        <w:pStyle w:val="TextBody"/>
        <w:bidi w:val="0"/>
        <w:spacing w:lineRule="auto" w:line="288" w:before="200" w:after="283"/>
        <w:ind w:left="0" w:right="0" w:firstLine="540"/>
        <w:jc w:val="left"/>
      </w:pPr>
      <w:r>
        <w:rPr>
          <w:rFonts w:ascii="Times New Roman;serif" w:hAnsi="Times New Roman;serif"/>
          <w:b w:val="false"/>
          <w:color w:val="000000"/>
          <w:sz w:val="20"/>
        </w:rPr>
        <w:t>We conduct operations in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we have foreign currency exposure to fluctuations in other foreign currencies, such as the Euro, Japanese Yen and Canadian Dollar. Changes in the value of these currencies relative to the U.S. dollar may impact our condensed consolidated operating results, including our revenues and expenses, causing fluctuations in our operating results from period to period and/or resulting in foreign currency transaction losses that adversely impact our results of operations, financial position, and cash flows. See “</w:t>
      </w:r>
      <w:r>
        <w:rPr>
          <w:rFonts w:ascii="Times New Roman;serif" w:hAnsi="Times New Roman;serif"/>
          <w:b w:val="false"/>
          <w:i/>
          <w:color w:val="000000"/>
          <w:sz w:val="20"/>
        </w:rPr>
        <w:t>Quantitative and Qualitative Disclosures about Market Risk—Foreign Currency Risk</w:t>
      </w:r>
      <w:r>
        <w:rPr>
          <w:color w:val="000000"/>
        </w:rPr>
        <w:t xml:space="preserve">” </w:t>
      </w:r>
      <w:r>
        <w:rPr>
          <w:rFonts w:ascii="Times New Roman;serif" w:hAnsi="Times New Roman;serif"/>
          <w:b w:val="false"/>
          <w:color w:val="000000"/>
          <w:sz w:val="20"/>
        </w:rPr>
        <w:t>in Part I, Item 3 of this report for additional information about our foreign currency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European or other international governmental laws and regulations and other legal obligations related to privacy, data protection and information security could harm our business.</w:t>
      </w:r>
    </w:p>
    <w:p>
      <w:pPr>
        <w:pStyle w:val="TextBody"/>
        <w:bidi w:val="0"/>
        <w:spacing w:lineRule="auto" w:line="288" w:before="200" w:after="283"/>
        <w:ind w:left="0" w:right="0" w:firstLine="540"/>
        <w:jc w:val="left"/>
      </w:pPr>
      <w:r>
        <w:rPr>
          <w:rFonts w:ascii="Times New Roman;serif" w:hAnsi="Times New Roman;serif"/>
          <w:b w:val="false"/>
          <w:color w:val="000000"/>
          <w:sz w:val="20"/>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as well as laws and regulations outside Europe, and are discussed in more detail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Failure to comply with the requirements of these laws may result in significant fines. For example, noncompliance with the GDPR or related national data protection laws, which may deviate from the GDPR, may result in significant fines of up to 4.0% of global revenues, or €20.0 million, whichever is greater.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and other laws and regulations,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Other laws and regulations have requirements that are similar, and in some instances more far-reaching.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and other privacy laws on electronic marketing and cookies.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litigation; fines and penalties; disruptions of our business operations; reputational harm; loss of revenue or profits; and other adverse business consequences.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Technology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facilities, or the facilities of our third-party vendors, incur damage or power is lost for a significant length of time, our business will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product development process.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product development process, and any system failure could harm our business and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 incidents and related disruptions in our or our third-party vendors’ information technology systems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on information technology systems to operate our business. In addition, the FDA and other U.S. and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Such cybersecurity events which materially disrupt the healthcare system upon which our business relies could adversely affect our business if such disruption is widespread and continues for an extended period of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are heightened by the wide adoption of virtual and remote working, with sensitive data accessed by employees working in less secure, home-based environments, as well as the increasing use of generative AI by both employees and third parties. A breakdown, invasion, corruption, destruction, or interruption of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or will not be compromised.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cybersecurity threats and incidents, which to date have not had a material impact on our reputation, business, financial condition, or operations; however, there is no assurance that such impacts will not be material in the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use AI in our business, and challenges with properly managing its use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increasing use of AI and machine learning technology in the biopharmaceutical industry, combined with an uncertain regulatory environment, presents new risks and challenges. We have adopted and integrated certain AI solutions into our ecosystem, and applications of AI may become increasingly more important in our operations over time. Our vendors may incorporate AI tools into their offerings without disclosing this use to us, and the providers of these tools may not meet existing or rapidly evolving regulatory or industry standards with respect to privacy and data protection. Moreover, the use of AI-based tools may lead to the inadvertent release of confidential or proprietary information, which may adversely impact our ability to realize the benefit of our intellectual property, cause us to incur liabilities as the result of any breaches of confidentiality, impact our ability to comply with data security and privacy laws, and introduce additional cybersecurity risks.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Our competitors or other third parties may also incorporate AI into their businesses more efficiently than us, which could impair our ability to compete effectively and adversely affect our results of operations. The rapid innovation and developments surrounding AI, including potential government regulation of AI, may require significant resources to develop, test and maintain our implementations of AI.</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Operational Risks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ability to maintain global brand uniformity for ORLADEYO may be impacted by the sale of our European ORLADEYO business.</w:t>
      </w:r>
    </w:p>
    <w:p>
      <w:pPr>
        <w:pStyle w:val="TextBody"/>
        <w:bidi w:val="0"/>
        <w:spacing w:before="0" w:after="0"/>
        <w:jc w:val="left"/>
      </w:pPr>
      <w:r/>
    </w:p>
    <w:p>
      <w:pPr>
        <w:pStyle w:val="TextBody"/>
        <w:bidi w:val="0"/>
        <w:spacing w:lineRule="auto" w:line="288" w:before="0" w:after="0"/>
        <w:ind w:left="0" w:right="0" w:firstLine="540"/>
        <w:jc w:val="left"/>
      </w:pPr>
      <w:r>
        <w:rPr>
          <w:rFonts w:ascii="Times New Roman;serif" w:hAnsi="Times New Roman;serif"/>
          <w:b w:val="false"/>
          <w:color w:val="000000"/>
          <w:sz w:val="20"/>
          <w:shd w:fill="FFFFFF" w:val="clear"/>
        </w:rPr>
        <w:t xml:space="preserve">In connection with the sale of our </w:t>
      </w:r>
      <w:r>
        <w:rPr>
          <w:rFonts w:ascii="Times New Roman;serif" w:hAnsi="Times New Roman;serif"/>
          <w:b w:val="false"/>
          <w:color w:val="000000"/>
          <w:sz w:val="20"/>
        </w:rPr>
        <w:t>European ORLADEYO business, we entered into the Global Brand and Support Agreement, which provides for coordination of brand and regulatory activities regarding ORLADEYO products. While this agreement is intended to promote alignment on brand and related activities with Neopharmed, we do not have sole control over how ORLADEYO is positioned, supported or communicated in Europe, and we may not be able to maintain global brand uniformity with respect to ORLADEYO. This risk may be heightened given that ORLADEYO is indicated for a rare disease with a limited number of key opinion leaders and relatively few scientific publications or forums that reach a broad global audience. If we are unable to maintain a consistent and effective global brand presence for ORLADEYO, our ability to maximize the anticipated benefits of the sale, support future growth and realize the expected long</w:t>
        <w:noBreakHyphen/>
        <w:t>term value of ORLADEYO could be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health epidemic or pandemic, such as the COVID-19 pandemic, and related government orders or responsive business policies and procedures, could cause disruptions to our business, operations, and clinical development or commercialization plans and timelines, as well as the business and operations of third parties with whom we conduct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were affected by the COVID-19 pandemic, and we may experience similar delays or interruptions due to health epidemics or pandemics in the future, which could adversely impact our clinical trial operations. Health epidemics or pandemics could also affect the operations of regulators and other health and governmental authorities, which could result in delays of reviews and approvals, inspections, or other regulatory activities.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global impact of a health epidemic or pandemic, such as the COVID-19 pandemic,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U.S. Government shutdowns, instability in connection with changes in the presidential administration in the United States, geopolitical instability, actual or threatened public health emergencies, or outbreaks of disease, epidemics or pandemics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 and economic conditions continue to evolve, with the ultimate impacts being uncertain and subject to change. These effects could be material, and we will continue to monitor the economic climate closely. We do not know the full extent and magnitude of the impacts that any future developments will have on our business, on the healthcare system, or on the global economy. In addition, unstable market conditions could have the effect of heightening many of the other risks described in this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Insurance coverage is increasingly more costly and difficult to obtain or maintain.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retain our existing key personnel or advisors or fail to attract and retain additional key personnel or advisors, the development of our product candidates, the commercialization of our products, and the related growth of our business may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unexpected loss of service of our senior management and other key personnel, or our scientific advisors,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may harm our business because we rely upon these personnel for many important functions of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risk management committee and other compliance methods are not effective, our business, financial condition and operating results may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attend. The risk management committee, along with the other sub-committees in the Company, identifies key risks and mitigation strategies which are reported directly to our senior management, the Audit Committee and to the full Board of Directors on a regular basis.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will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strategic shift to focus on external innovation, including in connection with the Birmingham Closure Plan, may increase our reliance on acquisitions, strategic investments, partnerships or other business development transactions to expand our product candidate pipeline. We may not identify suitable opportunities, complete transactions on acceptable terms or at all, or realize the anticipated operational, financial or strategic benefits of any such transactions or related initiatives on the expected timeline or at all. Additionally, actual costs of the Birmingham Closure Plan may exceed our estimates, anticipated savings may not be realized or may be offset by costs associated with external innovation, business development, acquired or licensed programs or other strategic priorities, and the closure of our Birmingham facility and related workforce reduction may result in the loss of institutional knowledge or technical expertise, adversely affect employee morale or retention, divert management attention or disrupt our operations. If we do not execute this strategy effectively, our business, financial condition, results of operations, liquidity and ability to execute our strategic priorities could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in which case we may not realize any return on our investment in these programs and may incur costs associated with their termination. For example, after evaluating potential partnering opportunities for continued development, we previously determined to terminate the avoralstat program and the STAR-0310 atopic dermatitis program acquired in the Merger to focus the pipeline on rare diseases. We may have continued financial exposure to divested or licensed businesses following the completion of any such transactions,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and operations could be negatively affected if we become subject to stockholder activism or hostile bids, which could cause us to incur significant expense, hinder execution of our business strategy and impact our stock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expenses, related to activist stockholder matters. Our stock price could be subject to significant fluctuation or otherwise be adversely affected by the events, risks and uncertainties of any stockholder activism.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Investing in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existing principal stockholders hold a substantial amount of our common stock and may be able to influence significant corporate decisions, which may conflict with the interest of other stockholders.</w:t>
      </w:r>
    </w:p>
    <w:p>
      <w:pPr>
        <w:pStyle w:val="TextBody"/>
        <w:bidi w:val="0"/>
        <w:spacing w:lineRule="auto" w:line="288" w:before="200" w:after="283"/>
        <w:ind w:left="0" w:right="0" w:firstLine="540"/>
        <w:jc w:val="left"/>
      </w:pPr>
      <w:r>
        <w:rPr>
          <w:rFonts w:ascii="Times New Roman;serif" w:hAnsi="Times New Roman;serif"/>
          <w:b w:val="false"/>
          <w:color w:val="000000"/>
          <w:sz w:val="20"/>
        </w:rPr>
        <w:t>Some of our stockholders own greater than 5% of our outstanding common stock. Our top ten stockholders own approximately</w:t>
      </w:r>
      <w:r>
        <w:rPr>
          <w:color w:val="000000"/>
          <w:shd w:fill="FFFFFF" w:val="clear"/>
        </w:rPr>
        <w:t xml:space="preserve"> </w:t>
      </w:r>
      <w:r>
        <w:rPr>
          <w:rFonts w:ascii="Times New Roman;serif" w:hAnsi="Times New Roman;serif"/>
          <w:b w:val="false"/>
          <w:color w:val="000000"/>
          <w:sz w:val="20"/>
          <w:shd w:fill="FFFFFF" w:val="clear"/>
        </w:rPr>
        <w:t xml:space="preserve">50% </w:t>
      </w:r>
      <w:r>
        <w:rPr>
          <w:rFonts w:ascii="Times New Roman;serif" w:hAnsi="Times New Roman;serif"/>
          <w:b w:val="false"/>
          <w:color w:val="000000"/>
          <w:sz w:val="20"/>
        </w:rPr>
        <w:t>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September 30, 2026, the 52-week range of the market price of our stock was from $6.00 to $11.22 per share. The following factors, in addition to other risk factors described in this section, may have, and in some cases have had, a significant impact on the market price of our common stock:</w:t>
      </w:r>
    </w:p>
    <w:p>
      <w:pPr>
        <w:pStyle w:val="TextBody"/>
        <w:bidi w:val="0"/>
        <w:spacing w:lineRule="auto" w:line="288" w:before="200" w:after="283"/>
        <w:ind w:left="0" w:right="0" w:hanging="360"/>
        <w:jc w:val="left"/>
      </w:pPr>
      <w:r>
        <w:rPr>
          <w:color w:val="000000"/>
        </w:rPr>
        <w:t>•</w:t>
      </w:r>
      <w:r>
        <w:rPr>
          <w:rFonts w:ascii="Times New Roman;serif" w:hAnsi="Times New Roman;serif"/>
          <w:b w:val="false"/>
          <w:color w:val="000000"/>
          <w:sz w:val="20"/>
        </w:rPr>
        <w:t>announcements of technological innovations or new products by us or our competitors;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developments or disputes concerning patents or proprietary rights;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additional dilution through sales or issuances of our common stock or other derivative securities;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status of new or existing licensing or collaborative agreements and government contracts;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announcements relating to the status of our programs or changes to our operations or business strategy (such as the Birmingham Closure Plan);</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us or our partners achieving or failing to achieve development milestones;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publicity regarding actual or potential medical results relating to products under development by us or our competitors;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publicity regarding certain public health concerns for which we are or may be developing treatments;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regulatory developments in both the United States and foreign countries;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public concern as to the safety of pharmaceutical products;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changes in financial estimates or recommendations by securities analysts and the comparison of such estimates to our actual results;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online automated financial platforms’ treatment or classification of our financial information;</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changes in our public guidance;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changes in the structure of healthcare payment systems, including developments in price control legislation;</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announcements by us or our competitors of significant acquisitions (such as the Merger), strategic partnerships, divestitures (such as the sale of our European ORLADEYO business to Neopharmed), joint ventures, capital commitments or other monetization transactions;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additions or departures of key personnel or members of our Board of Directors;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purchases or sales of substantial amounts of our stock by existing stockholders, including officers or directors;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economic and other external factors or other disasters or crises;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period-to-period fluctuations in our financial results.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 </w:t>
      </w:r>
    </w:p>
    <w:p>
      <w:pPr>
        <w:pStyle w:val="TextBody"/>
        <w:bidi w:val="0"/>
        <w:spacing w:lineRule="auto" w:line="288" w:before="200" w:after="283"/>
        <w:ind w:left="0" w:right="0" w:firstLine="540"/>
        <w:jc w:val="left"/>
      </w:pPr>
      <w:r>
        <w:rPr>
          <w:rFonts w:ascii="Times New Roman;serif" w:hAnsi="Times New Roman;serif"/>
          <w:b w:val="false"/>
          <w:color w:val="000000"/>
          <w:sz w:val="20"/>
        </w:rPr>
        <w:t>As a public company, we are required to maintain effective internal control over financial reporting (as described in “</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in Part I, Item 4 of this report), and effective disclosure controls and procedures. If we identify one or more material weaknesses in our internal control over financial reporting, we will not be able to assert that our internal controls and procedures are effective. 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In 2023, we identified and timely reported two material weaknesses in our internal control over financial reporting, which management determined to be subsequently remediated as of December 31, 2023 and September 30, 2024, respectively.</w:t>
      </w:r>
    </w:p>
    <w:p>
      <w:pPr>
        <w:pStyle w:val="TextBody"/>
        <w:bidi w:val="0"/>
        <w:spacing w:before="0" w:after="0"/>
        <w:ind w:left="0" w:right="0" w:firstLine="54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Future sales and issuances of securities may dilute the ownership interests of our current stockholders and cause our stock price to decline.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of our common stock by us or our current stockholders into the public market could cause the market price of our stock to fall. As of September 30, 2026, there were 256,117,756 shares of our common stock outstanding. We may from time to time issue securities in relation to a license arrangement, collaboration, merger or acquisition (such as in connection with the Merger). We may also sell, for our own account, shares of common stock or other equity securities, from time to time at prices and on terms to be determined at the time of sale.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were 43,786,380 stock options and restricted stock units outstanding and 15,785,435 shares available for issuance under our Amended and Restated Stock Incentive Plan, 4,819,944 stock options and restricted stock units outstanding and 1,000,929 shares available for issuance under our Amended and Restated Inducement Equity Incentive Plan, and 4,326,612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anti-takeover provisions in our corporate charter documents that may result in outcomes with which you do not agree.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never paid dividends on our common stock and do not anticipate doing so in the foreseeable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bidi w:val="0"/>
        <w:spacing w:lineRule="auto" w:line="288" w:before="200" w:after="283"/>
        <w:jc w:val="left"/>
      </w:pPr>
      <w:r>
        <w:rPr>
          <w:rFonts w:ascii="Times New Roman;serif" w:hAnsi="Times New Roman;serif"/>
          <w:b/>
          <w:i/>
          <w:color w:val="000000"/>
          <w:sz w:val="20"/>
        </w:rPr>
        <w:t>Our Amended and Restated By-Laws provide that the Court of Chancery of the State of Delaware will be the sole and exclusive forum for certain litigation that may be initiated by our stockholders, which may limit a stockholder</w:t>
      </w:r>
      <w:r>
        <w:rPr>
          <w:color w:val="000000"/>
        </w:rPr>
        <w:t>’</w:t>
      </w:r>
      <w:r>
        <w:rPr>
          <w:rFonts w:ascii="Times New Roman;serif" w:hAnsi="Times New Roman;serif"/>
          <w:b/>
          <w:i/>
          <w:color w:val="000000"/>
          <w:sz w:val="20"/>
        </w:rPr>
        <w:t>s ability to obtain a favorable judicial forum for such disputes with us or our directors, officers or employees.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pStyle w:val="TextBody"/>
        <w:bidi w:val="0"/>
        <w:spacing w:lineRule="auto" w:line="288" w:before="200" w:after="283"/>
        <w:ind w:left="0" w:right="0" w:firstLine="540"/>
        <w:jc w:val="left"/>
      </w:pPr>
      <w:r>
        <w:rPr>
          <w:rFonts w:ascii="Times New Roman;serif" w:hAnsi="Times New Roman;serif"/>
          <w:b w:val="false"/>
          <w:color w:val="000000"/>
          <w:sz w:val="20"/>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changes in the presidential administration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w:t>
      </w:r>
      <w:r>
        <w:rPr>
          <w:rFonts w:ascii="Times New Roman;serif" w:hAnsi="Times New Roman;serif"/>
          <w:b w:val="false"/>
          <w:i/>
          <w:color w:val="000000"/>
          <w:sz w:val="20"/>
        </w:rPr>
        <w:t>Risk Factors—Risks Relating to Our Business—Other Operational Risks—Our business, operations, clinical development or commercialization plans and timelines, and access to capital could be adversely affected by unpredictable and unstable market and economic conditions</w:t>
      </w:r>
      <w:r>
        <w:rPr>
          <w:rFonts w:ascii="Times New Roman;serif" w:hAnsi="Times New Roman;serif"/>
          <w:b w:val="false"/>
          <w:color w:val="000000"/>
          <w:sz w:val="20"/>
        </w:rPr>
        <w:t>.” In addition, other events, such as the Ukraine-Russia and Middle East conflicts, or rising 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legal proceedings, which could harm our reputation or result in other losses or unexpected expenditure of time and resources.</w:t>
      </w:r>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Director and Officer Trading Arrangements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87"/>
        <w:gridCol w:w="2680"/>
        <w:gridCol w:w="3827"/>
      </w:tblGrid>
      <w:t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r:id="rId2">
              <w:r>
                <w:rPr>
                  <w:rStyle w:val="InternetLink"/>
                  <w:rFonts w:ascii="Times New Roman;serif" w:hAnsi="Times New Roman;serif"/>
                  <w:b w:val="false"/>
                  <w:color w:val="0000FF"/>
                  <w:sz w:val="20"/>
                  <w:u w:val="single"/>
                </w:rPr>
                <w:t>Third Restated Certificate of Incorporation of Registrant. Incorporated by reference to Exhibit 3.1 to the Company’s Form 8-K filed December 22, 2006.</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r:id="rId3">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July 24, 2007.</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r:id="rId4">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May 7, 2014.</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r:id="rId5">
              <w:r>
                <w:rPr>
                  <w:rStyle w:val="InternetLink"/>
                  <w:rFonts w:ascii="Times New Roman;serif" w:hAnsi="Times New Roman;serif"/>
                  <w:b w:val="false"/>
                  <w:color w:val="000080"/>
                  <w:sz w:val="20"/>
                  <w:u w:val="single"/>
                </w:rPr>
                <w:t>Certificate of Elimination of the Series B Junior Participating Preferred Stock. Incorporated by reference to Exhibit 3.1 to the Company’s Form 8-K filed May 13, 202</w:t>
              </w:r>
            </w:hyperlink>
            <w:hyperlink r:id="rId6">
              <w:r>
                <w:rPr>
                  <w:rStyle w:val="InternetLink"/>
                  <w:rFonts w:ascii="Times New Roman;serif" w:hAnsi="Times New Roman;serif"/>
                  <w:b w:val="false"/>
                  <w:color w:val="000080"/>
                  <w:sz w:val="20"/>
                  <w:u w:val="single"/>
                </w:rPr>
                <w:t>0.</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r:id="rId7">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3.2 to the Company’s Form 8-K filed May 13, 2020.</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r:id="rId8">
              <w:r>
                <w:rPr>
                  <w:rStyle w:val="InternetLink"/>
                  <w:rFonts w:ascii="Times New Roman;serif" w:hAnsi="Times New Roman;serif"/>
                  <w:b w:val="false"/>
                  <w:color w:val="0000FF"/>
                  <w:sz w:val="20"/>
                  <w:u w:val="single"/>
                </w:rPr>
                <w:t>Amended and Restated By-Laws of BioCryst Pharmaceuticals, Inc., effective January 16, 2024. Incorporated by reference to Exhibit 3.1 to the Company’s Form 8-K filed January 18, 2024.</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bcrx-20260930x10xqxex311.htm">
              <w:r>
                <w:rPr>
                  <w:rStyle w:val="InternetLink"/>
                  <w:rFonts w:ascii="Times New Roman;serif" w:hAnsi="Times New Roman;serif"/>
                  <w:b w:val="false"/>
                  <w:color w:val="0000FF"/>
                  <w:sz w:val="20"/>
                  <w:u w:val="single"/>
                </w:rPr>
                <w:t>Certification of the Principal Executive Officer Pursuant to Rule 13a-14(a) and Rule 15d-14(a) of the Securities Exchange Act of 1934, as Amended, as Adopted Pursuant to Section 302 of the Sarbanes-Oxley Act of 2002.</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bcrx-20260930x10xqxex312.htm">
              <w:r>
                <w:rPr>
                  <w:rStyle w:val="InternetLink"/>
                  <w:rFonts w:ascii="Times New Roman;serif" w:hAnsi="Times New Roman;serif"/>
                  <w:b w:val="false"/>
                  <w:color w:val="0000FF"/>
                  <w:sz w:val="20"/>
                  <w:u w:val="single"/>
                </w:rPr>
                <w:t>Certification of the Principal Financial Officer Pursuant to Rule 13a-14(a) and Rule 15d-14(a) of the Securities Exchange Act of 1934, as Amended, as Adopted Pursuant to Section 302 of the Sarbanes-Oxley Act of 2002.</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bcrx-20260930x10xqxex321.htm">
              <w:r>
                <w:rPr>
                  <w:rStyle w:val="InternetLink"/>
                  <w:rFonts w:ascii="Times New Roman;serif" w:hAnsi="Times New Roman;serif"/>
                  <w:b w:val="false"/>
                  <w:color w:val="0000FF"/>
                  <w:sz w:val="20"/>
                  <w:u w:val="single"/>
                </w:rPr>
                <w:t>Certification of the Principal Executive Officer Pursuant to 18 U.S.C. Section 1350, as Adopted Pursuant to Section 906 of the Sarbanes-Oxley Act of 2002.</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bcrx-20260930x10xqxex322.htm">
              <w:r>
                <w:rPr>
                  <w:rStyle w:val="InternetLink"/>
                  <w:rFonts w:ascii="Times New Roman;serif" w:hAnsi="Times New Roman;serif"/>
                  <w:b w:val="false"/>
                  <w:color w:val="0000FF"/>
                  <w:sz w:val="20"/>
                  <w:u w:val="single"/>
                </w:rPr>
                <w:t>Certification of the Principal Financial Officer Pursuant to 18 U.S.C. Section 1350, as Adopted Pursuant to Section 906 of the Sarbanes-Oxley Act of 2002.</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from the Quarterly Report on Form 10-Q of BioCryst Pharmaceuticals, Inc. for the three and nine months ended September 30, 2026, formatted in Inline XBRL: (i) Condensed Consolidated Balance Sheets, (ii) Condensed Consolidated Statements of Comprehensive Income (Loss), (iii) Condensed Consolidated Statements of Cash Flows, (iv) Condensed Consolidated Statements of Stockholders’ Deficit, and (v) Notes to Condensed Consolidated Financial Statements, tagged as blocks of text and including detailed tags.</w:t>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certification is being furnished solely to accompany this Quarterly Report on Form 10-Q pursuant to 18 U.S.C. Section 1350, and will not be deemed “filed” for purposes of Section 18 of the Exchange Act, except to the extent that the Company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0" w:after="0"/>
        <w:jc w:val="left"/>
      </w:pPr>
      <w:hyperlink w:anchor="i48d83cab57d141b58bbd36c647420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this 4th day of November, 2026.</w:t>
      </w:r>
    </w:p>
    <w:tbl>
      <w:tblPr>
        <w:tblW w:w="10205" w:type="dxa"/>
        <w:jc w:val="left"/>
        <w:tblInd w:w="0" w:type="dxa"/>
        <w:tblLayout w:type="fixed"/>
        <w:tblCellMar>
          <w:top w:w="28" w:type="dxa"/>
          <w:left w:w="28" w:type="dxa"/>
          <w:bottom w:w="28" w:type="dxa"/>
          <w:right w:w="28" w:type="dxa"/>
        </w:tblCellMar>
      </w:tblPr>
      <w:tblGrid>
        <w:gridCol w:w="1975"/>
        <w:gridCol w:w="1736"/>
        <w:gridCol w:w="1737"/>
        <w:gridCol w:w="1392"/>
        <w:gridCol w:w="1392"/>
        <w:gridCol w:w="1973"/>
      </w:tblGrid>
      <w:tr>
        <w:tc>
          <w:tcPr>
            <w:tcW w:w="1975"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BIOCRYST PHARMACEUTICALS, INC.</w:t>
            </w:r>
          </w:p>
        </w:tc>
      </w:tr>
      <w:t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r>
      <w:t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r>
      <w:t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Charles Gayer, certify that:</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97"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266"/>
        <w:gridCol w:w="266"/>
        <w:gridCol w:w="266"/>
        <w:gridCol w:w="266"/>
        <w:gridCol w:w="266"/>
        <w:gridCol w:w="266"/>
        <w:gridCol w:w="266"/>
        <w:gridCol w:w="266"/>
        <w:gridCol w:w="376"/>
      </w:tblGrid>
      <w:t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3"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r>
      <w:t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r>
      <w:t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Babar Ghias, certify that:</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96"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563"/>
        <w:gridCol w:w="563"/>
        <w:gridCol w:w="563"/>
        <w:gridCol w:w="563"/>
        <w:gridCol w:w="563"/>
        <w:gridCol w:w="563"/>
        <w:gridCol w:w="563"/>
        <w:gridCol w:w="563"/>
        <w:gridCol w:w="799"/>
      </w:tblGrid>
      <w:t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3"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53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September 30, 2026, as filed with the Securities and Exchange Commission on the date hereof (the “Report”), I, Charles Gayer, Chief Executive Officer of the Company, certify, pursuant to 18 U.S.C. § 1350, as adopted pursuant to § 906 of the Sarbanes-Oxley Act of 2002, that, to the best of my knowledge:</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pPr>
      <w:r/>
    </w:p>
    <w:p>
      <w:pPr>
        <w:pStyle w:val="TextBody"/>
        <w:bidi w:val="0"/>
        <w:spacing w:before="0" w:after="0"/>
        <w:jc w:val="left"/>
      </w:pPr>
      <w:r/>
    </w:p>
    <w:tbl>
      <w:tblPr>
        <w:tblW w:w="3828" w:type="dxa"/>
        <w:jc w:val="left"/>
        <w:tblInd w:w="0" w:type="dxa"/>
        <w:tblLayout w:type="fixed"/>
        <w:tblCellMar>
          <w:top w:w="28" w:type="dxa"/>
          <w:left w:w="28" w:type="dxa"/>
          <w:bottom w:w="28" w:type="dxa"/>
          <w:right w:w="28" w:type="dxa"/>
        </w:tblCellMar>
      </w:tblPr>
      <w:tblGrid>
        <w:gridCol w:w="307"/>
        <w:gridCol w:w="271"/>
        <w:gridCol w:w="271"/>
        <w:gridCol w:w="271"/>
        <w:gridCol w:w="271"/>
        <w:gridCol w:w="271"/>
        <w:gridCol w:w="271"/>
        <w:gridCol w:w="271"/>
        <w:gridCol w:w="271"/>
        <w:gridCol w:w="109"/>
        <w:gridCol w:w="109"/>
        <w:gridCol w:w="109"/>
        <w:gridCol w:w="109"/>
        <w:gridCol w:w="109"/>
        <w:gridCol w:w="109"/>
        <w:gridCol w:w="109"/>
        <w:gridCol w:w="109"/>
        <w:gridCol w:w="109"/>
        <w:gridCol w:w="109"/>
        <w:gridCol w:w="109"/>
        <w:gridCol w:w="154"/>
      </w:tblGrid>
      <w:tr>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849" w:type="dxa"/>
            <w:gridSpan w:val="3"/>
            <w:tcBorders/>
            <w:tcMar>
              <w:top w:w="0" w:type="dxa"/>
              <w:left w:w="0" w:type="dxa"/>
              <w:bottom w:w="0" w:type="dxa"/>
              <w:right w:w="0" w:type="dxa"/>
            </w:tcMar>
            <w:vAlign w:val="center"/>
          </w:tcPr>
          <w:p>
            <w:pPr>
              <w:pStyle w:val="TableContents"/>
              <w:bidi w:val="0"/>
              <w:spacing w:before="0" w:after="0"/>
              <w:ind w:left="0" w:right="0" w:hanging="360"/>
              <w:jc w:val="left"/>
            </w:p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September 30, 2026, as filed with the Securities and Exchange Commission on the date hereof (the “Report”), I, Babar Ghias, Chief Financial Officer of the Company, certify, pursuant to 18 U.S.C. § 1350, as adopted pursuant to § 906 of the Sarbanes-Oxley Act of 2002, that, to the best of my knowledge:</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pPr>
      <w:r/>
    </w:p>
    <w:p>
      <w:pPr>
        <w:pStyle w:val="TextBody"/>
        <w:bidi w:val="0"/>
        <w:spacing w:before="0" w:after="0"/>
        <w:jc w:val="left"/>
      </w:pPr>
      <w:r/>
    </w:p>
    <w:tbl>
      <w:tblPr>
        <w:tblW w:w="6302" w:type="dxa"/>
        <w:jc w:val="left"/>
        <w:tblInd w:w="0" w:type="dxa"/>
        <w:tblLayout w:type="fixed"/>
        <w:tblCellMar>
          <w:top w:w="28" w:type="dxa"/>
          <w:left w:w="28" w:type="dxa"/>
          <w:bottom w:w="28" w:type="dxa"/>
          <w:right w:w="28" w:type="dxa"/>
        </w:tblCellMar>
      </w:tblPr>
      <w:tblGrid>
        <w:gridCol w:w="660"/>
        <w:gridCol w:w="577"/>
        <w:gridCol w:w="577"/>
        <w:gridCol w:w="577"/>
        <w:gridCol w:w="577"/>
        <w:gridCol w:w="577"/>
        <w:gridCol w:w="577"/>
        <w:gridCol w:w="577"/>
        <w:gridCol w:w="577"/>
        <w:gridCol w:w="109"/>
        <w:gridCol w:w="109"/>
        <w:gridCol w:w="109"/>
        <w:gridCol w:w="109"/>
        <w:gridCol w:w="109"/>
        <w:gridCol w:w="109"/>
        <w:gridCol w:w="109"/>
        <w:gridCol w:w="109"/>
        <w:gridCol w:w="154"/>
      </w:tblGrid>
      <w:tr>
        <w:tc>
          <w:tcPr>
            <w:tcW w:w="6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14" w:type="dxa"/>
            <w:gridSpan w:val="3"/>
            <w:tcBorders/>
            <w:tcMar>
              <w:top w:w="0" w:type="dxa"/>
              <w:left w:w="0" w:type="dxa"/>
              <w:bottom w:w="0" w:type="dxa"/>
              <w:right w:w="0" w:type="dxa"/>
            </w:tcMar>
            <w:vAlign w:val="center"/>
          </w:tcPr>
          <w:p>
            <w:pPr>
              <w:pStyle w:val="TableContents"/>
              <w:bidi w:val="0"/>
              <w:spacing w:before="0" w:after="0"/>
              <w:ind w:left="0" w:right="0" w:hanging="360"/>
              <w:jc w:val="left"/>
            </w:p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pPr>
      <w:r/>
    </w:p>
    <w:p>
      <w:pPr>
        <w:pStyle w:val="TextBody"/>
        <w:bidi w:val="0"/>
        <w:spacing w:before="0" w:after="283"/>
        <w:jc w:val="lef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2796/000103570406000836/d42297exv3w1.htm" TargetMode="External"/><Relationship Id="rId3" Type="http://schemas.openxmlformats.org/officeDocument/2006/relationships/hyperlink" Target="https://www.sec.gov/Archives/edgar/data/882796/000136231007001386/c70813exv3w1.htm" TargetMode="External"/><Relationship Id="rId4" Type="http://schemas.openxmlformats.org/officeDocument/2006/relationships/hyperlink" Target="https://www.sec.gov/Archives/edgar/data/882796/000119312514186707/d722313dex31.htm" TargetMode="External"/><Relationship Id="rId5" Type="http://schemas.openxmlformats.org/officeDocument/2006/relationships/hyperlink" Target="https://www.sec.gov/Archives/edgar/data/882796/000117184320003680/exh_31.htm" TargetMode="External"/><Relationship Id="rId6" Type="http://schemas.openxmlformats.org/officeDocument/2006/relationships/hyperlink" Target="http://www.sec.gov/Archives/edgar/data/882796/000117184320003680/exh_32.htm" TargetMode="External"/><Relationship Id="rId7" Type="http://schemas.openxmlformats.org/officeDocument/2006/relationships/hyperlink" Target="https://www.sec.gov/Archives/edgar/data/882796/000117184320003680/exh_32.htm" TargetMode="External"/><Relationship Id="rId8" Type="http://schemas.openxmlformats.org/officeDocument/2006/relationships/hyperlink" Target="https://www.sec.gov/Archives/edgar/data/882796/000117184324000297/exh_3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56973</Words>
  <Characters>324239</Characters>
  <CharactersWithSpaces>379371</CharactersWithSpaces>
  <Paragraphs>3402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