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17, 2022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BioCryst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2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tcPr>
          <w:p>
            <w:pPr>
              <w:jc w:val="right"/>
              <w:ind w:right="2250"/>
              <w:spacing w:after="0"/>
              <w:rPr>
                <w:sz w:val="20"/>
                <w:szCs w:val="20"/>
                <w:color w:val="auto"/>
              </w:rPr>
            </w:pPr>
            <w:r>
              <w:rPr>
                <w:rFonts w:ascii="Arial" w:cs="Arial" w:eastAsia="Arial" w:hAnsi="Arial"/>
                <w:sz w:val="18"/>
                <w:szCs w:val="18"/>
                <w:b w:val="1"/>
                <w:bCs w:val="1"/>
                <w:color w:val="auto"/>
              </w:rPr>
              <w:t>000-23186</w:t>
            </w:r>
          </w:p>
        </w:tc>
        <w:tc>
          <w:tcPr>
            <w:tcW w:w="184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62-1413174</w:t>
            </w:r>
          </w:p>
        </w:tc>
      </w:tr>
      <w:tr>
        <w:trPr>
          <w:trHeight w:val="216"/>
        </w:trPr>
        <w:tc>
          <w:tcPr>
            <w:tcW w:w="2240" w:type="dxa"/>
            <w:vAlign w:val="bottom"/>
          </w:tcPr>
          <w:p>
            <w:pPr>
              <w:jc w:val="center"/>
              <w:ind w:right="190"/>
              <w:spacing w:after="0"/>
              <w:rPr>
                <w:sz w:val="20"/>
                <w:szCs w:val="20"/>
                <w:color w:val="auto"/>
              </w:rPr>
            </w:pPr>
            <w:r>
              <w:rPr>
                <w:rFonts w:ascii="Arial" w:cs="Arial" w:eastAsia="Arial" w:hAnsi="Arial"/>
                <w:sz w:val="18"/>
                <w:szCs w:val="18"/>
                <w:color w:val="auto"/>
                <w:w w:val="91"/>
              </w:rPr>
              <w:t>(State or Other Jurisdiction</w:t>
            </w:r>
          </w:p>
        </w:tc>
        <w:tc>
          <w:tcPr>
            <w:tcW w:w="5240" w:type="dxa"/>
            <w:vAlign w:val="bottom"/>
          </w:tcPr>
          <w:p>
            <w:pPr>
              <w:jc w:val="center"/>
              <w:ind w:right="130"/>
              <w:spacing w:after="0"/>
              <w:rPr>
                <w:sz w:val="20"/>
                <w:szCs w:val="20"/>
                <w:color w:val="auto"/>
              </w:rPr>
            </w:pPr>
            <w:r>
              <w:rPr>
                <w:rFonts w:ascii="Arial" w:cs="Arial" w:eastAsia="Arial" w:hAnsi="Arial"/>
                <w:sz w:val="18"/>
                <w:szCs w:val="18"/>
                <w:color w:val="auto"/>
                <w:w w:val="93"/>
              </w:rPr>
              <w:t>(Commission</w:t>
            </w:r>
          </w:p>
        </w:tc>
        <w:tc>
          <w:tcPr>
            <w:tcW w:w="1840" w:type="dxa"/>
            <w:vAlign w:val="bottom"/>
          </w:tcPr>
          <w:p>
            <w:pPr>
              <w:jc w:val="center"/>
              <w:ind w:left="450"/>
              <w:spacing w:after="0"/>
              <w:rPr>
                <w:sz w:val="20"/>
                <w:szCs w:val="20"/>
                <w:color w:val="auto"/>
              </w:rPr>
            </w:pPr>
            <w:r>
              <w:rPr>
                <w:rFonts w:ascii="Arial" w:cs="Arial" w:eastAsia="Arial" w:hAnsi="Arial"/>
                <w:sz w:val="18"/>
                <w:szCs w:val="18"/>
                <w:color w:val="auto"/>
                <w:w w:val="93"/>
              </w:rPr>
              <w:t>(IRS Employer</w:t>
            </w:r>
          </w:p>
        </w:tc>
      </w:tr>
      <w:tr>
        <w:trPr>
          <w:trHeight w:val="230"/>
        </w:trPr>
        <w:tc>
          <w:tcPr>
            <w:tcW w:w="2240" w:type="dxa"/>
            <w:vAlign w:val="bottom"/>
          </w:tcPr>
          <w:p>
            <w:pPr>
              <w:jc w:val="center"/>
              <w:ind w:right="190"/>
              <w:spacing w:after="0"/>
              <w:rPr>
                <w:sz w:val="20"/>
                <w:szCs w:val="20"/>
                <w:color w:val="auto"/>
              </w:rPr>
            </w:pPr>
            <w:r>
              <w:rPr>
                <w:rFonts w:ascii="Arial" w:cs="Arial" w:eastAsia="Arial" w:hAnsi="Arial"/>
                <w:sz w:val="18"/>
                <w:szCs w:val="18"/>
                <w:color w:val="auto"/>
                <w:w w:val="94"/>
              </w:rPr>
              <w:t>of Incorporation)</w:t>
            </w:r>
          </w:p>
        </w:tc>
        <w:tc>
          <w:tcPr>
            <w:tcW w:w="524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240" w:type="dxa"/>
            <w:vAlign w:val="bottom"/>
          </w:tcPr>
          <w:p>
            <w:pPr>
              <w:spacing w:after="0"/>
              <w:rPr>
                <w:sz w:val="24"/>
                <w:szCs w:val="24"/>
                <w:color w:val="auto"/>
              </w:rPr>
            </w:pPr>
          </w:p>
        </w:tc>
        <w:tc>
          <w:tcPr>
            <w:tcW w:w="5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4505 Emperor Blvd., Suite 200</w:t>
            </w:r>
          </w:p>
        </w:tc>
        <w:tc>
          <w:tcPr>
            <w:tcW w:w="1840" w:type="dxa"/>
            <w:vAlign w:val="bottom"/>
          </w:tcPr>
          <w:p>
            <w:pPr>
              <w:spacing w:after="0"/>
              <w:rPr>
                <w:sz w:val="24"/>
                <w:szCs w:val="24"/>
                <w:color w:val="auto"/>
              </w:rPr>
            </w:pPr>
          </w:p>
        </w:tc>
      </w:tr>
      <w:tr>
        <w:trPr>
          <w:trHeight w:val="220"/>
        </w:trPr>
        <w:tc>
          <w:tcPr>
            <w:tcW w:w="2240" w:type="dxa"/>
            <w:vAlign w:val="bottom"/>
          </w:tcPr>
          <w:p>
            <w:pPr>
              <w:spacing w:after="0"/>
              <w:rPr>
                <w:sz w:val="19"/>
                <w:szCs w:val="19"/>
                <w:color w:val="auto"/>
              </w:rPr>
            </w:pPr>
          </w:p>
        </w:tc>
        <w:tc>
          <w:tcPr>
            <w:tcW w:w="5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Durham, North Carolina 27703</w:t>
            </w:r>
          </w:p>
        </w:tc>
        <w:tc>
          <w:tcPr>
            <w:tcW w:w="1840" w:type="dxa"/>
            <w:vAlign w:val="bottom"/>
          </w:tcPr>
          <w:p>
            <w:pPr>
              <w:spacing w:after="0"/>
              <w:rPr>
                <w:sz w:val="19"/>
                <w:szCs w:val="19"/>
                <w:color w:val="auto"/>
              </w:rPr>
            </w:pPr>
          </w:p>
        </w:tc>
      </w:tr>
      <w:tr>
        <w:trPr>
          <w:trHeight w:val="230"/>
        </w:trPr>
        <w:tc>
          <w:tcPr>
            <w:tcW w:w="2240" w:type="dxa"/>
            <w:vAlign w:val="bottom"/>
          </w:tcPr>
          <w:p>
            <w:pPr>
              <w:spacing w:after="0"/>
              <w:rPr>
                <w:sz w:val="20"/>
                <w:szCs w:val="20"/>
                <w:color w:val="auto"/>
              </w:rPr>
            </w:pPr>
          </w:p>
        </w:tc>
        <w:tc>
          <w:tcPr>
            <w:tcW w:w="5240" w:type="dxa"/>
            <w:vAlign w:val="bottom"/>
          </w:tcPr>
          <w:p>
            <w:pPr>
              <w:jc w:val="center"/>
              <w:ind w:right="130"/>
              <w:spacing w:after="0"/>
              <w:rPr>
                <w:sz w:val="20"/>
                <w:szCs w:val="20"/>
                <w:color w:val="auto"/>
              </w:rPr>
            </w:pPr>
            <w:r>
              <w:rPr>
                <w:rFonts w:ascii="Arial" w:cs="Arial" w:eastAsia="Arial" w:hAnsi="Arial"/>
                <w:sz w:val="18"/>
                <w:szCs w:val="18"/>
                <w:color w:val="auto"/>
                <w:w w:val="93"/>
              </w:rPr>
              <w:t>(Address of Principal Executive Offices) (Zip Code)</w:t>
            </w:r>
          </w:p>
        </w:tc>
        <w:tc>
          <w:tcPr>
            <w:tcW w:w="1840" w:type="dxa"/>
            <w:vAlign w:val="bottom"/>
          </w:tcPr>
          <w:p>
            <w:pPr>
              <w:spacing w:after="0"/>
              <w:rPr>
                <w:sz w:val="20"/>
                <w:szCs w:val="20"/>
                <w:color w:val="auto"/>
              </w:rPr>
            </w:pPr>
          </w:p>
        </w:tc>
      </w:tr>
      <w:tr>
        <w:trPr>
          <w:trHeight w:val="418"/>
        </w:trPr>
        <w:tc>
          <w:tcPr>
            <w:tcW w:w="2240" w:type="dxa"/>
            <w:vAlign w:val="bottom"/>
          </w:tcPr>
          <w:p>
            <w:pPr>
              <w:spacing w:after="0"/>
              <w:rPr>
                <w:sz w:val="24"/>
                <w:szCs w:val="24"/>
                <w:color w:val="auto"/>
              </w:rPr>
            </w:pPr>
          </w:p>
        </w:tc>
        <w:tc>
          <w:tcPr>
            <w:tcW w:w="5240" w:type="dxa"/>
            <w:vAlign w:val="bottom"/>
          </w:tcPr>
          <w:p>
            <w:pPr>
              <w:jc w:val="right"/>
              <w:ind w:right="2070"/>
              <w:spacing w:after="0"/>
              <w:rPr>
                <w:sz w:val="20"/>
                <w:szCs w:val="20"/>
                <w:color w:val="auto"/>
              </w:rPr>
            </w:pPr>
            <w:r>
              <w:rPr>
                <w:rFonts w:ascii="Arial" w:cs="Arial" w:eastAsia="Arial" w:hAnsi="Arial"/>
                <w:sz w:val="18"/>
                <w:szCs w:val="18"/>
                <w:b w:val="1"/>
                <w:bCs w:val="1"/>
                <w:color w:val="auto"/>
              </w:rPr>
              <w:t>(919) 859-1302</w:t>
            </w:r>
          </w:p>
        </w:tc>
        <w:tc>
          <w:tcPr>
            <w:tcW w:w="1840" w:type="dxa"/>
            <w:vAlign w:val="bottom"/>
          </w:tcPr>
          <w:p>
            <w:pPr>
              <w:spacing w:after="0"/>
              <w:rPr>
                <w:sz w:val="24"/>
                <w:szCs w:val="24"/>
                <w:color w:val="auto"/>
              </w:rPr>
            </w:pPr>
          </w:p>
        </w:tc>
      </w:tr>
      <w:tr>
        <w:trPr>
          <w:trHeight w:val="230"/>
        </w:trPr>
        <w:tc>
          <w:tcPr>
            <w:tcW w:w="2240" w:type="dxa"/>
            <w:vAlign w:val="bottom"/>
          </w:tcPr>
          <w:p>
            <w:pPr>
              <w:spacing w:after="0"/>
              <w:rPr>
                <w:sz w:val="20"/>
                <w:szCs w:val="20"/>
                <w:color w:val="auto"/>
              </w:rPr>
            </w:pPr>
          </w:p>
        </w:tc>
        <w:tc>
          <w:tcPr>
            <w:tcW w:w="5240" w:type="dxa"/>
            <w:vAlign w:val="bottom"/>
          </w:tcPr>
          <w:p>
            <w:pPr>
              <w:jc w:val="center"/>
              <w:ind w:right="130"/>
              <w:spacing w:after="0"/>
              <w:rPr>
                <w:sz w:val="20"/>
                <w:szCs w:val="20"/>
                <w:color w:val="auto"/>
              </w:rPr>
            </w:pPr>
            <w:r>
              <w:rPr>
                <w:rFonts w:ascii="Arial" w:cs="Arial" w:eastAsia="Arial" w:hAnsi="Arial"/>
                <w:sz w:val="18"/>
                <w:szCs w:val="18"/>
                <w:color w:val="auto"/>
                <w:w w:val="90"/>
              </w:rPr>
              <w:t>(Registrant’s telephone number, including area code)</w:t>
            </w:r>
          </w:p>
        </w:tc>
        <w:tc>
          <w:tcPr>
            <w:tcW w:w="1840" w:type="dxa"/>
            <w:vAlign w:val="bottom"/>
          </w:tcPr>
          <w:p>
            <w:pPr>
              <w:spacing w:after="0"/>
              <w:rPr>
                <w:sz w:val="20"/>
                <w:szCs w:val="20"/>
                <w:color w:val="auto"/>
              </w:rPr>
            </w:pPr>
          </w:p>
        </w:tc>
      </w:tr>
      <w:tr>
        <w:trPr>
          <w:trHeight w:val="418"/>
        </w:trPr>
        <w:tc>
          <w:tcPr>
            <w:tcW w:w="2240" w:type="dxa"/>
            <w:vAlign w:val="bottom"/>
          </w:tcPr>
          <w:p>
            <w:pPr>
              <w:spacing w:after="0"/>
              <w:rPr>
                <w:sz w:val="24"/>
                <w:szCs w:val="24"/>
                <w:color w:val="auto"/>
              </w:rPr>
            </w:pPr>
          </w:p>
        </w:tc>
        <w:tc>
          <w:tcPr>
            <w:tcW w:w="5240" w:type="dxa"/>
            <w:vAlign w:val="bottom"/>
          </w:tcPr>
          <w:p>
            <w:pPr>
              <w:jc w:val="right"/>
              <w:ind w:right="850"/>
              <w:spacing w:after="0"/>
              <w:rPr>
                <w:sz w:val="20"/>
                <w:szCs w:val="20"/>
                <w:color w:val="auto"/>
              </w:rPr>
            </w:pPr>
            <w:r>
              <w:rPr>
                <w:rFonts w:ascii="Arial" w:cs="Arial" w:eastAsia="Arial" w:hAnsi="Arial"/>
                <w:sz w:val="18"/>
                <w:szCs w:val="18"/>
                <w:color w:val="auto"/>
              </w:rPr>
              <w:t>________________________________________</w:t>
            </w:r>
          </w:p>
        </w:tc>
        <w:tc>
          <w:tcPr>
            <w:tcW w:w="1840" w:type="dxa"/>
            <w:vAlign w:val="bottom"/>
          </w:tcPr>
          <w:p>
            <w:pPr>
              <w:spacing w:after="0"/>
              <w:rPr>
                <w:sz w:val="24"/>
                <w:szCs w:val="24"/>
                <w:color w:val="auto"/>
              </w:rPr>
            </w:pPr>
          </w:p>
        </w:tc>
      </w:tr>
      <w:tr>
        <w:trPr>
          <w:trHeight w:val="230"/>
        </w:trPr>
        <w:tc>
          <w:tcPr>
            <w:tcW w:w="2240" w:type="dxa"/>
            <w:vAlign w:val="bottom"/>
          </w:tcPr>
          <w:p>
            <w:pPr>
              <w:spacing w:after="0"/>
              <w:rPr>
                <w:sz w:val="20"/>
                <w:szCs w:val="20"/>
                <w:color w:val="auto"/>
              </w:rPr>
            </w:pPr>
          </w:p>
        </w:tc>
        <w:tc>
          <w:tcPr>
            <w:tcW w:w="5240" w:type="dxa"/>
            <w:vAlign w:val="bottom"/>
          </w:tcPr>
          <w:p>
            <w:pPr>
              <w:jc w:val="center"/>
              <w:ind w:right="15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84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42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42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42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42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BCRX</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02"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Effective February 18, 2022, BioCryst Pharmaceuticals, Inc. (the “Company”) is implementing an increase in the wholesale acquisition cost (WAC) for ORLADEYO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United States from $485,004 on an annual basis ($37,308 per 28-day pack of either 150mg or 110mg capsules) to $499,554.12 on an annual basis ($38,427.24 per 28-day pack of either 150mg or 110mg capsules).</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this Current Report on Form 8-K shall not be deemed “filed” for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2109470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February 17, 2022</w:t>
      </w:r>
      <w:r>
        <w:rPr>
          <w:sz w:val="20"/>
          <w:szCs w:val="20"/>
          <w:color w:val="auto"/>
        </w:rPr>
        <w:tab/>
      </w:r>
      <w:r>
        <w:rPr>
          <w:rFonts w:ascii="Arial" w:cs="Arial" w:eastAsia="Arial" w:hAnsi="Arial"/>
          <w:sz w:val="16"/>
          <w:szCs w:val="16"/>
          <w:b w:val="1"/>
          <w:bCs w:val="1"/>
          <w:color w:val="auto"/>
        </w:rPr>
        <w:t>BioCryst Pharmaceuticals, Inc.</w:t>
      </w:r>
    </w:p>
    <w:p>
      <w:pPr>
        <w:spacing w:after="0" w:line="200" w:lineRule="exact"/>
        <w:rPr>
          <w:sz w:val="20"/>
          <w:szCs w:val="20"/>
          <w:color w:val="auto"/>
        </w:rPr>
      </w:pPr>
    </w:p>
    <w:p>
      <w:pPr>
        <w:spacing w:after="0" w:line="24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Alane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Alane Barnes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Legal Officer</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2022-02-17T15:18:38Z</dcterms:created>
  <dcterms:modified xsi:type="dcterms:W3CDTF">2022-02-17T15:18:38Z</dcterms:modified>
</cp:coreProperties>
</file>