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27703</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+1-919-859-1302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 registrant had 255,535,105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89"/>
        <w:gridCol w:w="2977"/>
        <w:gridCol w:w="2989"/>
        <w:gridCol w:w="248"/>
        <w:gridCol w:w="248"/>
        <w:gridCol w:w="354"/>
      </w:tblGrid>
      <w:tr>
        <w:trPr/>
        <w:tc>
          <w:tcPr>
            <w:tcW w:w="338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0">
              <w:r>
                <w:rPr>
                  <w:rStyle w:val="InternetLink"/>
                  <w:rFonts w:ascii="Times New Roman;serif" w:hAnsi="Times New Roman;serif"/>
                  <w:b w:val="false"/>
                  <w:color w:val="0000FF"/>
                  <w:sz w:val="20"/>
                  <w:u w:val="single"/>
                </w:rPr>
                <w:t>Cautionary Note Regarding Forward-Looking Statements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0">
              <w:r>
                <w:rPr>
                  <w:rStyle w:val="InternetLink"/>
                  <w:rFonts w:ascii="Times New Roman;serif" w:hAnsi="Times New Roman;serif"/>
                  <w:b w:val="false"/>
                  <w:color w:val="0000FF"/>
                  <w:sz w:val="20"/>
                  <w:u w:val="single"/>
                </w:rPr>
                <w:t>i</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3">
              <w:r>
                <w:rPr>
                  <w:rStyle w:val="InternetLink"/>
                  <w:rFonts w:ascii="Times New Roman;serif" w:hAnsi="Times New Roman;serif"/>
                  <w:b w:val="false"/>
                  <w:color w:val="0000FF"/>
                  <w:sz w:val="20"/>
                  <w:u w:val="single"/>
                </w:rPr>
                <w:t>Risk Factor Summary</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3">
              <w:r>
                <w:rPr>
                  <w:rStyle w:val="InternetLink"/>
                  <w:rFonts w:ascii="Times New Roman;serif" w:hAnsi="Times New Roman;serif"/>
                  <w:b w:val="false"/>
                  <w:color w:val="0000FF"/>
                  <w:sz w:val="20"/>
                  <w:u w:val="single"/>
                </w:rPr>
                <w:t>ii</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6">
              <w:r>
                <w:rPr>
                  <w:rStyle w:val="InternetLink"/>
                  <w:rFonts w:ascii="Times New Roman;serif" w:hAnsi="Times New Roman;serif"/>
                  <w:b w:val="false"/>
                  <w:color w:val="0000FF"/>
                  <w:sz w:val="20"/>
                  <w:u w:val="single"/>
                </w:rPr>
                <w:t>Part I. Financial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6">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9">
              <w:r>
                <w:rPr>
                  <w:rStyle w:val="InternetLink"/>
                  <w:rFonts w:ascii="Times New Roman;serif" w:hAnsi="Times New Roman;serif"/>
                  <w:b w:val="false"/>
                  <w:color w:val="0000FF"/>
                  <w:sz w:val="20"/>
                  <w:u w:val="single"/>
                </w:rPr>
                <w:t>Item 1. Financial Statements (Unaudited):</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9">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22">
              <w:r>
                <w:rPr>
                  <w:rStyle w:val="InternetLink"/>
                  <w:rFonts w:ascii="Times New Roman;serif" w:hAnsi="Times New Roman;serif"/>
                  <w:b w:val="false"/>
                  <w:color w:val="000080"/>
                  <w:sz w:val="20"/>
                  <w:u w:val="single"/>
                </w:rPr>
                <w:t xml:space="preserve">Condensed Consolidated Balance Sheets as of </w:t>
              </w:r>
            </w:hyperlink>
            <w:hyperlink w:anchor="i237d13f25f63422fbdba7007a671c608_22">
              <w:r>
                <w:rPr>
                  <w:rStyle w:val="InternetLink"/>
                  <w:rFonts w:ascii="Times New Roman;serif" w:hAnsi="Times New Roman;serif"/>
                  <w:b w:val="false"/>
                  <w:color w:val="000080"/>
                  <w:sz w:val="20"/>
                  <w:u w:val="single"/>
                </w:rPr>
                <w:t>June 30</w:t>
              </w:r>
            </w:hyperlink>
            <w:hyperlink w:anchor="i237d13f25f63422fbdba7007a671c608_22">
              <w:r>
                <w:rPr>
                  <w:rStyle w:val="InternetLink"/>
                  <w:rFonts w:ascii="Times New Roman;serif" w:hAnsi="Times New Roman;serif"/>
                  <w:b w:val="false"/>
                  <w:color w:val="000080"/>
                  <w:sz w:val="20"/>
                  <w:u w:val="single"/>
                </w:rPr>
                <w:t>, 2026 and December 31, 2025</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22">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25">
              <w:r>
                <w:rPr>
                  <w:rStyle w:val="InternetLink"/>
                  <w:rFonts w:ascii="Times New Roman;serif" w:hAnsi="Times New Roman;serif"/>
                  <w:b w:val="false"/>
                  <w:color w:val="000080"/>
                  <w:sz w:val="20"/>
                  <w:u w:val="single"/>
                </w:rPr>
                <w:t xml:space="preserve">Condensed Consolidated Statements of Comprehensive </w:t>
              </w:r>
            </w:hyperlink>
            <w:hyperlink w:anchor="i237d13f25f63422fbdba7007a671c608_25">
              <w:r>
                <w:rPr>
                  <w:rStyle w:val="InternetLink"/>
                  <w:rFonts w:ascii="Times New Roman;serif" w:hAnsi="Times New Roman;serif"/>
                  <w:b w:val="false"/>
                  <w:color w:val="000080"/>
                  <w:sz w:val="20"/>
                  <w:u w:val="single"/>
                </w:rPr>
                <w:t xml:space="preserve">Income </w:t>
              </w:r>
            </w:hyperlink>
            <w:hyperlink w:anchor="i237d13f25f63422fbdba7007a671c608_25">
              <w:r>
                <w:rPr>
                  <w:rStyle w:val="InternetLink"/>
                  <w:rFonts w:ascii="Times New Roman;serif" w:hAnsi="Times New Roman;serif"/>
                  <w:b w:val="false"/>
                  <w:color w:val="000080"/>
                  <w:sz w:val="20"/>
                  <w:u w:val="single"/>
                </w:rPr>
                <w:t xml:space="preserve">(Loss) </w:t>
              </w:r>
            </w:hyperlink>
            <w:hyperlink w:anchor="i237d13f25f63422fbdba7007a671c608_25">
              <w:r>
                <w:rPr>
                  <w:rStyle w:val="InternetLink"/>
                  <w:rFonts w:ascii="Times New Roman;serif" w:hAnsi="Times New Roman;serif"/>
                  <w:b w:val="false"/>
                  <w:color w:val="000080"/>
                  <w:sz w:val="20"/>
                  <w:u w:val="single"/>
                </w:rPr>
                <w:t xml:space="preserve">for the Three </w:t>
              </w:r>
            </w:hyperlink>
            <w:hyperlink w:anchor="i237d13f25f63422fbdba7007a671c608_25">
              <w:r>
                <w:rPr>
                  <w:rStyle w:val="InternetLink"/>
                  <w:rFonts w:ascii="Times New Roman;serif" w:hAnsi="Times New Roman;serif"/>
                  <w:b w:val="false"/>
                  <w:color w:val="000080"/>
                  <w:sz w:val="20"/>
                  <w:u w:val="single"/>
                </w:rPr>
                <w:t xml:space="preserve">and Six </w:t>
              </w:r>
            </w:hyperlink>
            <w:hyperlink w:anchor="i237d13f25f63422fbdba7007a671c608_25">
              <w:r>
                <w:rPr>
                  <w:rStyle w:val="InternetLink"/>
                  <w:rFonts w:ascii="Times New Roman;serif" w:hAnsi="Times New Roman;serif"/>
                  <w:b w:val="false"/>
                  <w:color w:val="000080"/>
                  <w:sz w:val="20"/>
                  <w:u w:val="single"/>
                </w:rPr>
                <w:t xml:space="preserve">Months Ended </w:t>
              </w:r>
            </w:hyperlink>
            <w:hyperlink w:anchor="i237d13f25f63422fbdba7007a671c608_25">
              <w:r>
                <w:rPr>
                  <w:rStyle w:val="InternetLink"/>
                  <w:rFonts w:ascii="Times New Roman;serif" w:hAnsi="Times New Roman;serif"/>
                  <w:b w:val="false"/>
                  <w:color w:val="000080"/>
                  <w:sz w:val="20"/>
                  <w:u w:val="single"/>
                </w:rPr>
                <w:t>June 30</w:t>
              </w:r>
            </w:hyperlink>
            <w:hyperlink w:anchor="i237d13f25f63422fbdba7007a671c608_25">
              <w:r>
                <w:rPr>
                  <w:rStyle w:val="InternetLink"/>
                  <w:rFonts w:ascii="Times New Roman;serif" w:hAnsi="Times New Roman;serif"/>
                  <w:b w:val="false"/>
                  <w:color w:val="000080"/>
                  <w:sz w:val="20"/>
                  <w:u w:val="single"/>
                </w:rPr>
                <w:t>, 2026 and 2025</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25">
              <w:r>
                <w:rPr>
                  <w:rStyle w:val="InternetLink"/>
                  <w:rFonts w:ascii="Times New Roman;serif" w:hAnsi="Times New Roman;serif"/>
                  <w:b w:val="false"/>
                  <w:color w:val="0000FF"/>
                  <w:sz w:val="20"/>
                  <w:u w:val="single"/>
                </w:rPr>
                <w:t>2</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28">
              <w:r>
                <w:rPr>
                  <w:rStyle w:val="InternetLink"/>
                  <w:rFonts w:ascii="Times New Roman;serif" w:hAnsi="Times New Roman;serif"/>
                  <w:b w:val="false"/>
                  <w:color w:val="000080"/>
                  <w:sz w:val="20"/>
                  <w:u w:val="single"/>
                </w:rPr>
                <w:t xml:space="preserve">Condensed Consolidated Statements of Cash Flows for the </w:t>
              </w:r>
            </w:hyperlink>
            <w:hyperlink w:anchor="i237d13f25f63422fbdba7007a671c608_28">
              <w:r>
                <w:rPr>
                  <w:rStyle w:val="InternetLink"/>
                  <w:rFonts w:ascii="Times New Roman;serif" w:hAnsi="Times New Roman;serif"/>
                  <w:b w:val="false"/>
                  <w:color w:val="000080"/>
                  <w:sz w:val="20"/>
                  <w:u w:val="single"/>
                </w:rPr>
                <w:t>Six</w:t>
              </w:r>
            </w:hyperlink>
            <w:hyperlink w:anchor="i237d13f25f63422fbdba7007a671c608_28">
              <w:r>
                <w:rPr>
                  <w:rStyle w:val="InternetLink"/>
                  <w:rFonts w:ascii="Times New Roman;serif" w:hAnsi="Times New Roman;serif"/>
                  <w:b w:val="false"/>
                  <w:color w:val="000080"/>
                  <w:sz w:val="20"/>
                  <w:u w:val="single"/>
                </w:rPr>
                <w:t xml:space="preserve"> Months Ended </w:t>
              </w:r>
            </w:hyperlink>
            <w:hyperlink w:anchor="i237d13f25f63422fbdba7007a671c608_28">
              <w:r>
                <w:rPr>
                  <w:rStyle w:val="InternetLink"/>
                  <w:rFonts w:ascii="Times New Roman;serif" w:hAnsi="Times New Roman;serif"/>
                  <w:b w:val="false"/>
                  <w:color w:val="000080"/>
                  <w:sz w:val="20"/>
                  <w:u w:val="single"/>
                </w:rPr>
                <w:t>June 30</w:t>
              </w:r>
            </w:hyperlink>
            <w:hyperlink w:anchor="i237d13f25f63422fbdba7007a671c608_28">
              <w:r>
                <w:rPr>
                  <w:rStyle w:val="InternetLink"/>
                  <w:rFonts w:ascii="Times New Roman;serif" w:hAnsi="Times New Roman;serif"/>
                  <w:b w:val="false"/>
                  <w:color w:val="000080"/>
                  <w:sz w:val="20"/>
                  <w:u w:val="single"/>
                </w:rPr>
                <w:t>, 2026 and 2025</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28">
              <w:r>
                <w:rPr>
                  <w:rStyle w:val="InternetLink"/>
                  <w:rFonts w:ascii="Times New Roman;serif" w:hAnsi="Times New Roman;serif"/>
                  <w:b w:val="false"/>
                  <w:color w:val="0000FF"/>
                  <w:sz w:val="20"/>
                  <w:u w:val="single"/>
                </w:rPr>
                <w:t>3</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31">
              <w:r>
                <w:rPr>
                  <w:rStyle w:val="InternetLink"/>
                  <w:rFonts w:ascii="Times New Roman;serif" w:hAnsi="Times New Roman;serif"/>
                  <w:b w:val="false"/>
                  <w:color w:val="000080"/>
                  <w:sz w:val="20"/>
                  <w:u w:val="single"/>
                </w:rPr>
                <w:t xml:space="preserve">Condensed Consolidated Statements of Stockholders’ Deficit for the Three </w:t>
              </w:r>
            </w:hyperlink>
            <w:hyperlink w:anchor="i237d13f25f63422fbdba7007a671c608_31">
              <w:r>
                <w:rPr>
                  <w:rStyle w:val="InternetLink"/>
                  <w:rFonts w:ascii="Times New Roman;serif" w:hAnsi="Times New Roman;serif"/>
                  <w:b w:val="false"/>
                  <w:color w:val="000080"/>
                  <w:sz w:val="20"/>
                  <w:u w:val="single"/>
                </w:rPr>
                <w:t xml:space="preserve">and Six </w:t>
              </w:r>
            </w:hyperlink>
            <w:hyperlink w:anchor="i237d13f25f63422fbdba7007a671c608_31">
              <w:r>
                <w:rPr>
                  <w:rStyle w:val="InternetLink"/>
                  <w:rFonts w:ascii="Times New Roman;serif" w:hAnsi="Times New Roman;serif"/>
                  <w:b w:val="false"/>
                  <w:color w:val="000080"/>
                  <w:sz w:val="20"/>
                  <w:u w:val="single"/>
                </w:rPr>
                <w:t xml:space="preserve">Months Ended </w:t>
              </w:r>
            </w:hyperlink>
            <w:hyperlink w:anchor="i237d13f25f63422fbdba7007a671c608_31">
              <w:r>
                <w:rPr>
                  <w:rStyle w:val="InternetLink"/>
                  <w:rFonts w:ascii="Times New Roman;serif" w:hAnsi="Times New Roman;serif"/>
                  <w:b w:val="false"/>
                  <w:color w:val="000080"/>
                  <w:sz w:val="20"/>
                  <w:u w:val="single"/>
                </w:rPr>
                <w:t>June 30</w:t>
              </w:r>
            </w:hyperlink>
            <w:hyperlink w:anchor="i237d13f25f63422fbdba7007a671c608_31">
              <w:r>
                <w:rPr>
                  <w:rStyle w:val="InternetLink"/>
                  <w:rFonts w:ascii="Times New Roman;serif" w:hAnsi="Times New Roman;serif"/>
                  <w:b w:val="false"/>
                  <w:color w:val="000080"/>
                  <w:sz w:val="20"/>
                  <w:u w:val="single"/>
                </w:rPr>
                <w:t>, 2026 and 2025</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31">
              <w:r>
                <w:rPr>
                  <w:rStyle w:val="InternetLink"/>
                  <w:rFonts w:ascii="Times New Roman;serif" w:hAnsi="Times New Roman;serif"/>
                  <w:b w:val="false"/>
                  <w:color w:val="0000FF"/>
                  <w:sz w:val="20"/>
                  <w:u w:val="single"/>
                </w:rPr>
                <w:t>5</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34">
              <w:r>
                <w:rPr>
                  <w:rStyle w:val="InternetLink"/>
                  <w:rFonts w:ascii="Times New Roman;serif" w:hAnsi="Times New Roman;serif"/>
                  <w:b w:val="false"/>
                  <w:color w:val="0000FF"/>
                  <w:sz w:val="20"/>
                  <w:u w:val="single"/>
                </w:rPr>
                <w:t>Notes to Condensed Consolidated Financial Statements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34">
              <w:r>
                <w:rPr>
                  <w:rStyle w:val="InternetLink"/>
                  <w:rFonts w:ascii="Times New Roman;serif" w:hAnsi="Times New Roman;serif"/>
                  <w:b w:val="false"/>
                  <w:color w:val="0000FF"/>
                  <w:sz w:val="20"/>
                  <w:u w:val="single"/>
                </w:rPr>
                <w:t>7</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91">
              <w:r>
                <w:rPr>
                  <w:rStyle w:val="InternetLink"/>
                  <w:rFonts w:ascii="Times New Roman;serif" w:hAnsi="Times New Roman;serif"/>
                  <w:b w:val="false"/>
                  <w:color w:val="0000FF"/>
                  <w:sz w:val="20"/>
                  <w:u w:val="single"/>
                </w:rPr>
                <w:t>33</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12">
              <w:r>
                <w:rPr>
                  <w:rStyle w:val="InternetLink"/>
                  <w:rFonts w:ascii="Times New Roman;serif" w:hAnsi="Times New Roman;serif"/>
                  <w:b w:val="false"/>
                  <w:color w:val="0000FF"/>
                  <w:sz w:val="20"/>
                  <w:u w:val="single"/>
                </w:rPr>
                <w:t>Item 3. Quantitative and Qualitative Disclosures About Market Risk</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12">
              <w:r>
                <w:rPr>
                  <w:rStyle w:val="InternetLink"/>
                  <w:rFonts w:ascii="Times New Roman;serif" w:hAnsi="Times New Roman;serif"/>
                  <w:b w:val="false"/>
                  <w:color w:val="0000FF"/>
                  <w:sz w:val="20"/>
                  <w:u w:val="single"/>
                </w:rPr>
                <w:t>47</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15">
              <w:r>
                <w:rPr>
                  <w:rStyle w:val="InternetLink"/>
                  <w:rFonts w:ascii="Times New Roman;serif" w:hAnsi="Times New Roman;serif"/>
                  <w:b w:val="false"/>
                  <w:color w:val="0000FF"/>
                  <w:sz w:val="20"/>
                  <w:u w:val="single"/>
                </w:rPr>
                <w:t>Item 4. Controls and Procedures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15">
              <w:r>
                <w:rPr>
                  <w:rStyle w:val="InternetLink"/>
                  <w:rFonts w:ascii="Times New Roman;serif" w:hAnsi="Times New Roman;serif"/>
                  <w:b w:val="false"/>
                  <w:color w:val="0000FF"/>
                  <w:sz w:val="20"/>
                  <w:u w:val="single"/>
                </w:rPr>
                <w:t>48</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18">
              <w:r>
                <w:rPr>
                  <w:rStyle w:val="InternetLink"/>
                  <w:rFonts w:ascii="Times New Roman;serif" w:hAnsi="Times New Roman;serif"/>
                  <w:b w:val="false"/>
                  <w:color w:val="0000FF"/>
                  <w:sz w:val="20"/>
                  <w:u w:val="single"/>
                </w:rPr>
                <w:t>Part II. Other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18">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21">
              <w:r>
                <w:rPr>
                  <w:rStyle w:val="InternetLink"/>
                  <w:rFonts w:ascii="Times New Roman;serif" w:hAnsi="Times New Roman;serif"/>
                  <w:b w:val="false"/>
                  <w:color w:val="0000FF"/>
                  <w:sz w:val="20"/>
                  <w:u w:val="single"/>
                </w:rPr>
                <w:t>Item 1. Legal Proceedings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21">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24">
              <w:r>
                <w:rPr>
                  <w:rStyle w:val="InternetLink"/>
                  <w:rFonts w:ascii="Times New Roman;serif" w:hAnsi="Times New Roman;serif"/>
                  <w:b w:val="false"/>
                  <w:color w:val="0000FF"/>
                  <w:sz w:val="20"/>
                  <w:u w:val="single"/>
                </w:rPr>
                <w:t>Item 1A. Risk Factors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24">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27">
              <w:r>
                <w:rPr>
                  <w:rStyle w:val="InternetLink"/>
                  <w:rFonts w:ascii="Times New Roman;serif" w:hAnsi="Times New Roman;serif"/>
                  <w:b w:val="false"/>
                  <w:color w:val="0000FF"/>
                  <w:sz w:val="20"/>
                  <w:u w:val="single"/>
                </w:rPr>
                <w:t>Item 5. Other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27">
              <w:r>
                <w:rPr>
                  <w:rStyle w:val="InternetLink"/>
                  <w:rFonts w:ascii="Times New Roman;serif" w:hAnsi="Times New Roman;serif"/>
                  <w:b w:val="false"/>
                  <w:color w:val="0000FF"/>
                  <w:sz w:val="20"/>
                  <w:u w:val="single"/>
                </w:rPr>
                <w:t>80</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33">
              <w:r>
                <w:rPr>
                  <w:rStyle w:val="InternetLink"/>
                  <w:rFonts w:ascii="Times New Roman;serif" w:hAnsi="Times New Roman;serif"/>
                  <w:b w:val="false"/>
                  <w:color w:val="0000FF"/>
                  <w:sz w:val="20"/>
                  <w:u w:val="single"/>
                </w:rPr>
                <w:t>Item 6. Exhibits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33">
              <w:r>
                <w:rPr>
                  <w:rStyle w:val="InternetLink"/>
                  <w:rFonts w:ascii="Times New Roman;serif" w:hAnsi="Times New Roman;serif"/>
                  <w:b w:val="false"/>
                  <w:color w:val="0000FF"/>
                  <w:sz w:val="20"/>
                  <w:u w:val="single"/>
                </w:rPr>
                <w:t>81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37d13f25f63422fbdba7007a671c608_136">
              <w:r>
                <w:rPr>
                  <w:rStyle w:val="InternetLink"/>
                  <w:rFonts w:ascii="Times New Roman;serif" w:hAnsi="Times New Roman;serif"/>
                  <w:b w:val="false"/>
                  <w:color w:val="0000FF"/>
                  <w:sz w:val="20"/>
                  <w:u w:val="single"/>
                </w:rPr>
                <w:t>Signatures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37d13f25f63422fbdba7007a671c608_136">
              <w:r>
                <w:rPr>
                  <w:rStyle w:val="InternetLink"/>
                  <w:rFonts w:ascii="Times New Roman;serif" w:hAnsi="Times New Roman;serif"/>
                  <w:b w:val="false"/>
                  <w:color w:val="0000FF"/>
                  <w:sz w:val="20"/>
                  <w:u w:val="single"/>
                </w:rPr>
                <w:t>83</w:t>
              </w:r>
            </w:hyperlink>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 xml:space="preserve">refer to BioCryst Pharmaceuticals, Inc. and, where appropriate, its subsidiaries.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U.S. Securities and Exchange Commission (“SEC”). These forward-looking statements include, but are not limited to, statements about: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navenibart, BCX17725, and our plans and anticipated timing regarding the same;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acquisition, development, and commercialization of best-in-class and first-in-class medicines;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 including the successful launch of the ORLADEYO oral pellet formulation;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successfully transition to our new sole source specialty pharmacy for ORLADEYO shipments to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 including the implementation and estimated timing of completion of the Birmingham Closure Plan (as defined below) and our expectations regarding our strategic shift to prioritize external innovation announced in June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plans, programs, progress and potential success of our collaborations, including, for example, with Torii Pharmaceutical Co., Ltd. (“Torii”) for ORLADEYO and Kaken Pharmaceutical, Co., Ltd. (“Kaken”) for navenibart in Japan, Neopharmed Gentili S.p.A., (“Neopharmed”) for ORLADEYO and navenibart in Europe, and Shionogi &amp; Co., Ltd. (“Shionogi”) and Green Cross Corporation (“Green Cross”) for peramivir in their territories;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our and our subsidiary guarantors’ ability to satisfy obligations under and to comply with covenants set forth in connection with the Blackstone Loan Agreement (as defined below);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or likelihood of regulatory filings, regulatory agreements, deferrals, approvals, and other decisions;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manage our liquidity needs to fund our operations or repay our recourse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statements and projections regarding financial goals, including profitability or positive cash flow;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competitive companies, technologies, and our industry;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Merger (as defined below) including, but not limited to, our expectations regarding the cost, benefits and expected synergies of the transaction.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Risk Factor Summary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achieve sustained profitability, and we may need to raise additional capital in the future. If we are unable to raise capital or obtain financing if and when needed, we may need to adjust our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anticipated benefits and synergies of the Merger may not be realized, and risks associated with Astria’s (as defined below) business or product candidates could adversely affect our business, financial results and the market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success depends in part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specialty pharmacies,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the U.S. Food and Drug Administration or comparable foreign regulatory authorities approve generic versions or biosimilars of any of our products that receive marketing approval, the sales of our products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The Blackstone Loan Agreement (as defined below) contains conditions and restrictions that limit our flexibility in operating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non-U.S. governmental laws and regulations and other obligations related to privacy, data protection, and information security could harm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or using artificial intelligence,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maintain global brand uniformity for ORLADEYO may be impacted by the sale of our European ORLADEYO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If we fail to retain our existing key personnel, or fail to attract and retain additional key personnel, the development of our product candidates, the commercialization of our products, and the related growth of our business may be delayed or stopped.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761"/>
        <w:gridCol w:w="2321"/>
        <w:gridCol w:w="2322"/>
        <w:gridCol w:w="206"/>
        <w:gridCol w:w="774"/>
        <w:gridCol w:w="114"/>
        <w:gridCol w:w="109"/>
        <w:gridCol w:w="109"/>
        <w:gridCol w:w="109"/>
        <w:gridCol w:w="248"/>
        <w:gridCol w:w="933"/>
        <w:gridCol w:w="199"/>
      </w:tblGrid>
      <w:tr>
        <w:trPr/>
        <w:tc>
          <w:tcPr>
            <w:tcW w:w="276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154,972 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89,736 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185,011 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106,818 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484,683 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404,346 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inventory, net</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31,945 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23,990 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557,851 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126,413 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liability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208,846 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196,066 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427,233 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term loan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1,012,140 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633,311 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- 5,000; no shares issued and outstanding at June 30, 2026 and December 31, 2025</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- 450,000; shares issued and outstanding – 255,265 at June 30, 2026 and 213,060 at December 31, 2025</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1,693,282 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1,384,857 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(loss) income </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(2,149,596)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(1,506,179)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(454,289)</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(119,153)</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557,851 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514,158 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699"/>
        <w:gridCol w:w="1409"/>
        <w:gridCol w:w="1418"/>
        <w:gridCol w:w="211"/>
        <w:gridCol w:w="827"/>
        <w:gridCol w:w="109"/>
        <w:gridCol w:w="109"/>
        <w:gridCol w:w="109"/>
        <w:gridCol w:w="109"/>
        <w:gridCol w:w="211"/>
        <w:gridCol w:w="827"/>
        <w:gridCol w:w="109"/>
        <w:gridCol w:w="109"/>
        <w:gridCol w:w="109"/>
        <w:gridCol w:w="109"/>
        <w:gridCol w:w="211"/>
        <w:gridCol w:w="889"/>
        <w:gridCol w:w="109"/>
        <w:gridCol w:w="109"/>
        <w:gridCol w:w="109"/>
        <w:gridCol w:w="109"/>
        <w:gridCol w:w="211"/>
        <w:gridCol w:w="826"/>
        <w:gridCol w:w="158"/>
      </w:tblGrid>
      <w:tr>
        <w:trPr/>
        <w:tc>
          <w:tcPr>
            <w:tcW w:w="169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257,874 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(603,133)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51,013 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(43,769)</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 for sale investments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comprehensive income (loss)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254,481 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209,203 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0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217,574 </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900"/>
        <w:gridCol w:w="2474"/>
        <w:gridCol w:w="2493"/>
        <w:gridCol w:w="196"/>
        <w:gridCol w:w="798"/>
        <w:gridCol w:w="109"/>
        <w:gridCol w:w="109"/>
        <w:gridCol w:w="109"/>
        <w:gridCol w:w="109"/>
        <w:gridCol w:w="196"/>
        <w:gridCol w:w="556"/>
        <w:gridCol w:w="156"/>
      </w:tblGrid>
      <w:tr>
        <w:trPr/>
        <w:tc>
          <w:tcPr>
            <w:tcW w:w="290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(loss)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assembled workforce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obsolescence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adjustment on share-based liability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Pharmakon paid-in-kind interest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royalty financing obligations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on term loans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investments,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trade receivables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inventory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royalty financing obligations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accounts payable and accrued expenses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deferred revenue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and equipment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Astria Therapeutics, Inc., net of cash acquired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issued under stock-based compensation plans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stock-based awards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to directors in lieu of cash retainer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on term loan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Pharmakon term loan principal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premium and fees on Pharmakon term loan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royalty financing obligations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cash, cash equivalents and restricted cash, including cash classified within current assets held for sale</w:t>
            </w:r>
          </w:p>
        </w:tc>
        <w:tc>
          <w:tcPr>
            <w:tcW w:w="99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65,047 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tbl>
      <w:tblPr>
        <w:tblW w:w="8889" w:type="dxa"/>
        <w:jc w:val="center"/>
        <w:tblInd w:w="0" w:type="dxa"/>
        <w:tblLayout w:type="fixed"/>
        <w:tblCellMar>
          <w:top w:w="28" w:type="dxa"/>
          <w:left w:w="28" w:type="dxa"/>
          <w:bottom w:w="28" w:type="dxa"/>
          <w:right w:w="28" w:type="dxa"/>
        </w:tblCellMar>
      </w:tblPr>
      <w:tblGrid>
        <w:gridCol w:w="2365"/>
        <w:gridCol w:w="2073"/>
        <w:gridCol w:w="2087"/>
        <w:gridCol w:w="196"/>
        <w:gridCol w:w="736"/>
        <w:gridCol w:w="109"/>
        <w:gridCol w:w="109"/>
        <w:gridCol w:w="109"/>
        <w:gridCol w:w="109"/>
        <w:gridCol w:w="196"/>
        <w:gridCol w:w="646"/>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increase in cash and cash equivalents classified within current assets held for sale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89,925 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89,925 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the acquisition of Astria Therapeutics, Inc.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on stock-based awards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costs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856"/>
        <w:gridCol w:w="480"/>
        <w:gridCol w:w="482"/>
        <w:gridCol w:w="375"/>
        <w:gridCol w:w="376"/>
        <w:gridCol w:w="211"/>
        <w:gridCol w:w="109"/>
        <w:gridCol w:w="109"/>
        <w:gridCol w:w="109"/>
        <w:gridCol w:w="196"/>
        <w:gridCol w:w="571"/>
        <w:gridCol w:w="109"/>
        <w:gridCol w:w="109"/>
        <w:gridCol w:w="109"/>
        <w:gridCol w:w="109"/>
        <w:gridCol w:w="196"/>
        <w:gridCol w:w="886"/>
        <w:gridCol w:w="109"/>
        <w:gridCol w:w="109"/>
        <w:gridCol w:w="109"/>
        <w:gridCol w:w="109"/>
        <w:gridCol w:w="345"/>
        <w:gridCol w:w="768"/>
        <w:gridCol w:w="193"/>
        <w:gridCol w:w="109"/>
        <w:gridCol w:w="109"/>
        <w:gridCol w:w="109"/>
        <w:gridCol w:w="196"/>
        <w:gridCol w:w="894"/>
        <w:gridCol w:w="109"/>
        <w:gridCol w:w="109"/>
        <w:gridCol w:w="109"/>
        <w:gridCol w:w="109"/>
        <w:gridCol w:w="216"/>
        <w:gridCol w:w="829"/>
        <w:gridCol w:w="173"/>
      </w:tblGrid>
      <w:tr>
        <w:trPr/>
        <w:tc>
          <w:tcPr>
            <w:tcW w:w="8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Deficit</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213,060</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1,384,857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(1,506,179)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(119,153)</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(721,812)</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sales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share-based liability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the acquisition of Astria Therapeutics, Inc.</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254,014</w:t>
            </w: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(2,227,991)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(553,843)</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78,395 </w:t>
            </w:r>
          </w:p>
        </w:tc>
        <w:tc>
          <w:tcPr>
            <w:tcW w:w="1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for 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share-based liability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share-based liability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255,265</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1,693,282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(528)</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(2,149,596)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(454,289)</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812"/>
        <w:gridCol w:w="501"/>
        <w:gridCol w:w="502"/>
        <w:gridCol w:w="375"/>
        <w:gridCol w:w="376"/>
        <w:gridCol w:w="211"/>
        <w:gridCol w:w="109"/>
        <w:gridCol w:w="109"/>
        <w:gridCol w:w="109"/>
        <w:gridCol w:w="196"/>
        <w:gridCol w:w="571"/>
        <w:gridCol w:w="109"/>
        <w:gridCol w:w="109"/>
        <w:gridCol w:w="109"/>
        <w:gridCol w:w="109"/>
        <w:gridCol w:w="196"/>
        <w:gridCol w:w="886"/>
        <w:gridCol w:w="109"/>
        <w:gridCol w:w="109"/>
        <w:gridCol w:w="109"/>
        <w:gridCol w:w="109"/>
        <w:gridCol w:w="292"/>
        <w:gridCol w:w="851"/>
        <w:gridCol w:w="163"/>
        <w:gridCol w:w="109"/>
        <w:gridCol w:w="109"/>
        <w:gridCol w:w="109"/>
        <w:gridCol w:w="196"/>
        <w:gridCol w:w="897"/>
        <w:gridCol w:w="109"/>
        <w:gridCol w:w="109"/>
        <w:gridCol w:w="109"/>
        <w:gridCol w:w="109"/>
        <w:gridCol w:w="216"/>
        <w:gridCol w:w="829"/>
        <w:gridCol w:w="173"/>
      </w:tblGrid>
      <w:tr>
        <w:trPr/>
        <w:tc>
          <w:tcPr>
            <w:tcW w:w="81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Deficit</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208,543</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1,291,100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(1,770,040)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(475,934)</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for 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 sales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209,208</w:t>
            </w: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1,314,857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1,132</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(1,770,008)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(451,927)</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1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to directors in lieu of cash retainer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209,905</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1,339,584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1,646</w:t>
            </w:r>
            <w:r>
              <w:rPr>
                <w:color w:val="000000"/>
              </w:rPr>
              <w:t>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(1,764,923)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(421,594)</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focused on developing and commercializing medicines for hereditary angioedema (“HAE”) and other rare diseases, driven by the Company’s deep commitment to improving the lives of people living with these conditions. The Company has built an established commercial infrastructure supporting ORLADEYO®, an oral, once-daily therapy discovered and developed internally for the prevention of HAE attacks, and is advancing a pipeline of potential first-in-class or best-in-class oral small-molecule and injectable protein therapeutics for a range of rare diseases. The Company was founded in 1986 and incorporated in Delaware in 1991, and its headquarters is located in Durham, North Carolina.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June 30, 2026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success of its business development efforts; the timing, scope and magnitude of its research and development and commercial expenses; and key regulatory and operational developments.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accordance with U.S. generally accepted accounting principles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condensed consolidated financial statements include the accounts of the Company and its wholly owned subsidiaries, including Astria Therapeutics Inc., which was acquired by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serif" w:hAnsi="Times New Roman;serif"/>
          <w:b w:val="false"/>
          <w:i/>
          <w:color w:val="000000"/>
          <w:sz w:val="20"/>
        </w:rPr>
        <w:t>Note 14—Segment Information</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for the fiscal year ended December 31, 2025 and the notes thereto included in the Company’s 2025 Annual Report on Form 10-K as filed with the Securities and Exchange Commission (the “SEC”) on February 26, 2026. Interim operating results are not necessarily indicative of operating results for the full fiscal year. The condensed consolidated balance sheet as of December 31, 2025 was derived from the audited consolidated financial statements included in the Company’s most recent Annual Report on Form 10-K.</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Sale of European ORLADEYO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On June 27, 2025, the Company entered into a stock purchase agreement (the “Stock Purchase Agreement”) with BioCryst Ireland Limited (“BioCryst Ireland”) and Neopharmed Gentili S.p.A., (“Neopharmed”). On October 1, 2025, the Company sold to Neopharmed all of its equity interests in BioCryst Ireland, which, together with its subsidiaries, holds certain assets, rights, and employees related to the European ORLADEYO business. The Company and BioCryst Ireland also amended and restated their existing intellectual property licence agreement, pursuant to which the Company is entitled to receive quarterly royalty payments from BioCryst Ireland equal to amounts owed under its Royalty Purchase Agreements with RPI and OMERS for the sale of ORLADEYO products in the Territory, as defined in the Stock Purchase Agreement (See “</w:t>
      </w:r>
      <w:r>
        <w:rPr>
          <w:rFonts w:ascii="Times New Roman;serif" w:hAnsi="Times New Roman;serif"/>
          <w:b w:val="false"/>
          <w:i/>
          <w:color w:val="000000"/>
          <w:sz w:val="20"/>
        </w:rPr>
        <w:t xml:space="preserve">Note 7—Royalty Financing Obligations”). </w:t>
      </w:r>
      <w:r>
        <w:rPr>
          <w:rFonts w:ascii="Times New Roman;serif" w:hAnsi="Times New Roman;serif"/>
          <w:b w:val="false"/>
          <w:color w:val="000000"/>
          <w:sz w:val="20"/>
        </w:rPr>
        <w:t>The condensed consolidated financial statements for the three and six months ended June 30, 2025 include the accounts of BioCryst Ireland, which was a wholly owned subsidiary of the Company prior to October 1, 2025. As of June 30, 2025, the assets and liabilities of BioCryst Ireland were classified as a disposal group held for sale in the Company’s condensed consolidated balance sheet.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liabilities, revenues and expenses, and related disclosure of contingent assets and liabilities.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Pursuant to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or as,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sources of product sales are sales of ORLADEYO and peramivir (RAPIVAB/RAPIACTA/PERAMIFLU). The Company generally ships ORLADEYO directly to patients through a single specialty pharmacy in the United States and through specialty distributors outside of the United States, which are considered its customers. The Company generally sells peramivir to its licensing partners, hospitals, and, in 2025, to the U.S. Department of Health and Human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including Medicaid and Medicare Part D reimbursements, and estimated managed care rebates, (ii) estimated chargebacks, (iii) 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trade receivables if no payments are required of the Company or a current liability if a payment is required of the Company. Actual amounts of consideration may differ from the Company’s estimates. Any differences are recognized as adjustments to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xml:space="preserve">. The Company contracts with group purchasing organizations associated with managed care organizations and participates in certain government programs,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contracts with these third-party payors, (ii) the contractually mandated discounts applicable to the programs, and (iii) product distribution information obtained from the Company’s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programs</w:t>
      </w:r>
      <w:r>
        <w:rPr>
          <w:rFonts w:ascii="Times New Roman;serif" w:hAnsi="Times New Roman;serif"/>
          <w:b w:val="false"/>
          <w:color w:val="000000"/>
          <w:sz w:val="20"/>
        </w:rPr>
        <w:t xml:space="preserve">. Patients who have commercial insurance and meet certain eligibility requirements may 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Patient assistance programs. </w:t>
      </w:r>
      <w:r>
        <w:rPr>
          <w:rFonts w:ascii="Times New Roman;serif" w:hAnsi="Times New Roman;serif"/>
          <w:b w:val="false"/>
          <w:color w:val="000000"/>
          <w:sz w:val="20"/>
        </w:rPr>
        <w:t>The Company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collaboration and license agreements with a number of third parties. The terms of the agreements typically include one or more of the following: upfront license fees; development, regulatory and sales-based milestone payments; and royalties on net sales of licensed products. For agreements with multiple performance obligations, revenue is allocated to each performance obligation based on its relative standalone selling price. The Company uses judgment to identify performance obligations and determine whether variable consideration should be included in the transaction price.</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Upfront license fees. </w:t>
      </w:r>
      <w:r>
        <w:rPr>
          <w:rFonts w:ascii="Times New Roman;serif" w:hAnsi="Times New Roman;serif"/>
          <w:b w:val="false"/>
          <w:color w:val="000000"/>
          <w:sz w:val="20"/>
        </w:rPr>
        <w:t>Arrangements that include upfront payments may require deferral of revenue recognition to a future period until obligations under such arrangements are fulfilled. 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agreements with multiple performance obligations, the Company develops assumptions that require judgment to determine the standalone selling price for each performance obligation, the determination of the transaction price, and the application of the constraints. The Company re-evaluates the transaction price at each reporting period and adjusts the estimate as changes in circumstances occur. The Company determines whether the performance obligations are satisfied over time or at a point in time and, if over time, determines the appropriate method of measuring progress for purposes of recognizing revenue.</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Development, regulatory or commercial milestone payments. </w:t>
      </w:r>
      <w:r>
        <w:rPr>
          <w:rFonts w:ascii="Times New Roman;serif" w:hAnsi="Times New Roman;serif"/>
          <w:b w:val="false"/>
          <w:color w:val="000000"/>
          <w:sz w:val="20"/>
        </w:rPr>
        <w:t>At the inception of each arrangement that includes payments based on the achievement of certain development, regulatory and commercial events,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customer’s control are not considered probable until the milestone is achieved. Each subsequent reporting period, the Company re-evaluates the probability of achieving such development and regulatory milestones and any related constraint, and if necessary, adjusts the Company’s estimate of the overall transaction price. Any such adjustments are recorded on a cumulative catch-up basis and recognized as revenue during the period of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76" w:before="240" w:after="283"/>
        <w:ind w:left="0" w:right="0" w:firstLine="540"/>
        <w:jc w:val="left"/>
        <w:rPr/>
      </w:pPr>
      <w:r>
        <w:rPr>
          <w:rFonts w:ascii="Times New Roman;serif" w:hAnsi="Times New Roman;serif"/>
          <w:b w:val="false"/>
          <w:i/>
          <w:color w:val="000000"/>
          <w:sz w:val="20"/>
        </w:rPr>
        <w:t>Sales-based milestone payments and royalties.</w:t>
      </w:r>
      <w:r>
        <w:rPr>
          <w:color w:val="000000"/>
        </w:rPr>
        <w:t xml:space="preserve"> </w:t>
      </w:r>
      <w:r>
        <w:rPr>
          <w:rFonts w:ascii="Times New Roman;serif" w:hAnsi="Times New Roman;serif"/>
          <w:b w:val="false"/>
          <w:color w:val="000000"/>
          <w:sz w:val="20"/>
        </w:rPr>
        <w:t>For arrangements that include sales-based royalties, including milestone payments based on the volume of sales, the Company determines whether the license is deemed to be the predominant item to which the royalties or sales-based milestones relate and if such is the case, the Company recognizes revenue at the later of (i) when the related sales occur, or (ii) when the performance obligation to which some or all of the royalty has been allocated has been satisfied (or partially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cash equivalents to be highly liquid investments with maturities of three months or less from the date of purchase.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restricted cash was $1,412 and $1,601 as of June 30, 2026 and December 31, 2025, respectively, and primarily consisted of $933 and $1,400 as of June 30, 2026 and December 31, 2025, respectively, for a letter of credit the Company is required to maintain associated with its Birmingham lease. The long-term portion of the letter of credit associated with the Birmingham lease of $933 and $1,400 as of June 30, 2026 and December 31, 2025, respectively, is reflected within other assets in the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all of its investments as available-for-sale, which are reported at fair value at each condensed consolidated balance sheet date. The Company evaluates its securities in an unrealized loss position at the end of each reporting period to determine whether a credit loss exists. Credit-related impairments are recognized through an allowance for credit losses on the condensed consolidated balance sheet with a corresponding charge to earnings. Unrealized losses not attributable to credit-related factors and unrealized gains are recognized in accumulated other comprehensive (loss) income, net of applicable taxes.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Realized gains and losses are reflected in other expense, net in the Condensed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condensed consolidated balance sheet date are classified as current. Investments with a maturity beyond 12 months from the condensed consolidated balance sheet date are classified as long-term.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Assets measured at fair value on a recurring basis include cash equivalents and investments (See “</w:t>
      </w:r>
      <w:r>
        <w:rPr>
          <w:rFonts w:ascii="Times New Roman;serif" w:hAnsi="Times New Roman;serif"/>
          <w:b w:val="false"/>
          <w:i/>
          <w:color w:val="000000"/>
          <w:sz w:val="20"/>
        </w:rPr>
        <w:t>Note 4—Fair Value Measurements and Investments</w:t>
      </w:r>
      <w:r>
        <w:rPr>
          <w:color w:val="000000"/>
        </w:rPr>
        <w:t>”</w:t>
      </w:r>
      <w:r>
        <w:rPr>
          <w:rFonts w:ascii="Times New Roman;serif" w:hAnsi="Times New Roman;serif"/>
          <w:b w:val="false"/>
          <w:color w:val="000000"/>
          <w:sz w:val="20"/>
        </w:rPr>
        <w:t xml:space="preserve">). The carrying amounts reflected in the Condensed Consolidated Balance Sheets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trade receivables, prepaid expenses and other current assets, accounts payable and accrued expenses approximate their fair values due to the short-term nature of these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represent amounts due from its customers and partners for product sales and from its license and collaboration agreements. Trade receivables are generally stated at the invoiced amount with standard payment terms that require payment within 30 to 90 days and do not bear interest.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Trade receivables are evaluated to determine if any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allowance.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its inventory at the lower of cost or estimated net realizable value and classifies inventory as short-term or long-term based on whether it is expected to be consumed or sold within 12 months of the condensed consolidated balance sheet date. The Company uses an actual cost method and determines the cost of its inventory on a first-in, first-out basis. Raw materials and work-in-process include all inventory costs prior to packaging and labeling, including raw material, active product ingredient, and the drug product. Finished goods include packaged and labeled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condensed consolidated balance sheet date, the Company evaluates inventory for excess, obsolete, short-dated, unmarketable, or otherwise impaired items and records valuation reserves as necessary. Inventory is also subject to strict quality control and monitoring that is performed throughout the manufacturing process, including release of work-in-process to finished goods. If certain batches or units of product do not meet quality specifications, the Company records a write-down of any potential unmarketable inventory to its estimated net realizable value with the resulting charge recorded as cost of product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the Company expenses costs relating to production of pre-launch inventory as research and development expense in its Condensed Consolidated Statements of Comprehensive Income (Loss) in the period incurred. After regulatory approval has been received, the Company capitalizes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contractual agreements with third-party vendors who provide research and development, manufacturing, distribution, and other services in the ordinary course of business. Some of these contracts are subject to milestone-based invoicing and involve services completed over extended periods. The Company records liabilities under these contractual commitments when obligations are incurred, regardless of the invoice timing. Accrued expenses are estimated as of each condensed consolidated balance sheet date based on the facts and circumstances known at that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which may include assumptions such as expected patient enrollment, site activation and estimated project duration. The Company accrues expenses for clinical trial activities based on the estimates of services received pursuant to contracts with multiple research institutions and clinical research organizations (“CROs”) that conduct and manage clinical trials on the Company’s behalf.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confirms the accuracy of its estimates with the service providers and adjusts if necessary. Examples of estimated accrued expenses include (i) fees paid to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 If the Company underestimates or overestimates the level of these costs, actual expenses could differ from such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sales includes the cost of inventory recognized as expense in connection with product revenue during the respective period, including costs associated with the acquisition and manufacture of inventory. Cost of product sales also includes inventory write-downs and excess or obsolete inventory charges, as well as other costs directly associated with the production of the Company’s commercial products.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direct and indirect expenses relating to research and development activities, including costs associated with product development efforts,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expensed when the related goods are delivered or the related services are performed.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an allocation of general and administrative overhead costs that support the Company’s research and development efforts.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represent costs incurred to commercialize the Company’s products and support its operations. Sales and marketing expenses include personnel-related costs, activities supporting the commercialization and distribution of marketed products, market research, marketing, medical affairs, market access, and advertising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personnel-related costs and other expenses associated with quality, finance, human resources, information technology, legal, compliance, and other administrative functions, including transaction-related costs. All patent related costs are expensed to general and administrative expenses when incurred as recoverability of such expenditures is uncertain.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leases certain assets under operating and finance leases, which consist of real estate leases, laboratory equipment leases and office equipment leases as of June 30, 2026. The Company determines whether a contract is, or contains, a lease at inception. The Company accounts for lease obligations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which requires a lessee to recognize a right-of-use asset and a lease liability in its condensed consolidated balance sheet for most leases. For leases with an initial lease term of twelve months or less, the Company recognizes lease expense on a straight-line basis over the lease term. The Company does not separate non-lease components from lease components and instead accounts for them as a single lease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leases provide for renewal options, which can vary by lease. The right-of-use asset and lease liabilities in the Condensed Consolidated Balance Sheets represent payments over the lease term, which include renewal options for certain real estate leases that the Company is reasonably certain to exercise. Certain operating leases include rent escalation provisions, which the Company recognizes as expense on a straight-line basis.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in its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the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or binomial lattice model to value its stock option awards.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Actual results, and future changes in estimates, may differ substantially from the Company’s current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directly associated with term loan borrowings are capitalized and netted against the corresponding debt liabilities in the Condensed Consolidated Balance Sheets. These costs are amortized to interest expense over the terms of the corresponding borrowings using the effective interest rate method.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Royalty financing obligations are repaid through royalties based on net sales of ORLADEYO. Interest expense is recognized using the effective interest rate method over the estimated period during which each of the related liabilities will be paid. This requires the Company to estimate the total future royalty payments expected to be generated from product sales over the life of the each agreement. The Company reassesses the expected royalty payments each reporting period and accounts for any changes through adjustments to the effective interest rates on a prospective basis. The assumptions used in determining the expected repayment terms of the debt and amortization periods of the issuance costs require that the Company make estimates that could impact the carrying values of each of the liabilities, as well as the periods over which associated issuance costs will be amortized. Significant changes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asset and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tax assets are reduced by a valuation allowance when, based on the weight of available evidence, it is more likely than not that some portion or all of the deferred tax assets will not be realized. In assessing the realizability of deferred tax assets, the Company considers all available positive and negative evidence, including historical operating results, forecasts of future taxable income, the reversal of taxable temporary differences and available tax planning strategies.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uncertain tax positions in accordance with U.S. GAAP and recognizes the financial statement effects of a tax position only when it is more likely than not that the position will be sustained upon examination by the relevant taxing authority. The Company adjusts the amount of the liability to reflect any subsequent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relevant facts and circumstances surrounding the uncertain tax positions. The Company recognizes interest and penalties related to income tax matters in 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research and development costs are capitalized and amortized over a 15-year period in accordance with Section 174 of the Internal Revenue Code of 1986, as amended (“IRC”). The amortization period begins with the midpoint of any taxable year that IRC Section 174 costs are first incurred, regardless of whether the expenditures were made prior to or after July 1, and runs until the midpoint of year sixteen.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OECD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 xml:space="preserve">On July 4, 2025, the One Big Beautiful Bill Act (“OBBBA”) was signed into law, making permanent certain provisions of the Tax Cuts and Jobs Act, including permanent 100% bonus depreciation, expensing of domestic research costs, and amendments to the business interest expense limitation.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 recognized the effects of the new tax law in the period of enactment. As the Company maintains a full valuation allowance on its U.S. federal deferred tax assets, the legislation did not have a material impact on its condensed consolidated financial statements for the three and six months ended June 30, 2026</w:t>
      </w:r>
      <w:r>
        <w:rPr>
          <w:rFonts w:ascii="Times New Roman;serif" w:hAnsi="Times New Roman;serif"/>
          <w:b/>
          <w:color w:val="000000"/>
          <w:sz w:val="20"/>
        </w:rPr>
        <w: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condensed consolidated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deficit within accumulated other comprehensive (loss) income. Gains or losses resulting from transactions denominated in foreign currencies are included in foreign currency gains (losses), net, within the Condensed Consolidated Statement of Comprehensive Income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calculated using the weighted average number of common shares outstanding during the period. Diluted net income (loss) per share includes the effect of potentially dilutive common shares outstanding during the period, as determined using the treasury stock method. Potentially dilutive common shares include shares that the Company could be obligated to issue from its outstanding stock-based compensation awards. In periods of net loss, all potential common shares would be anti-dilutive and therefore are excluded from the calculation of diluted net income (loss) per share.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(Loss)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is comprised of cumulative foreign currency translation adjustments and unrealized gains and losses on available-for-sale investments and is disclosed as a separate component of stockholders’ deficit. Realized gain and loss amounts on available-for-sale investments are reclassified from accumulated other comprehensive (loss) income and recorded as other expense, net in the Condensed Consolidated Statements of Comprehensive Income (Loss). There were no realized gains or losses reclassified out of accumulated other comprehensive (loss) income for the three and six months ended June 30,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Customers and Other Risks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 of revenue and cash flow is sales of ORLADEYO in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who dispense product to patients. On August 5, 2026, the Company announced that it has engaged a new sole source specialty pharmacy for ORLADEYO shipments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ORLADEYO and peramivir were distributed through the same specialty pharmacy in the United States. Product revenue where this specialty pharmacy was considered the customer was approximately 97% and 95% of total product sales for the three and six months ended June 30, 2026, respectively. Product revenue where this specialty pharmacy was considered the customer was approximately 86% and 85% of total product sales for the three and six months ended June 30, 2025,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distributes ORLADEYO in other global markets directly or through other parties.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and cash equivalents, investments, and trade receivables. The Company maintains its cash and cash equivalents with high-credit quality financial institutions in the United States. Such amounts may exceed federally-insured limits.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trade receivables from sales of ORLADEYO are primarily due from its significant customer, as discussed above, resulting in a concentration of credit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September 2025, the Financial Accounting Standards Board (“FASB”) issued Accounting Standards Update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the accounting for costs related to internal-use software, eliminating references to project stages and clarifying the threshold entities apply to begin capitalizing costs. ASU 2025-06 is effective for fiscal years beginning after December 15, 2027, and interim periods within those annual reporting periods, with early adoption permitted. The Company adopted ASU 2025-06 as of January 1, 2026. The adoption of this standard did not have a material effect on the Company’s Condensed Consolidated Balance Sheet, Condensed Consolidated Statement of Comprehensive Income (Loss), or Condensed Consolidated Statement of 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currently evaluating the impact that the adoption of ASU 2024-03 will have on its disclosures. The Company does not expect the adoption of ASU 2024-03 to have a material effect on its Condensed Consolidated Balance Sheet, Condensed Consolidated Statement of Comprehensive Income (Loss), or Condensed Consolidated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Acquisition of Astria Therapeutics, Inc.</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the Company, Axel Merger Sub, Inc., a Delaware corporation and a wholly owned subsidiary of the Company (“Merger Sub”), and Astria Therapeutics, Inc., a Delaware corporation (“Astria”), entered into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Agreement and Plan of Merger (the “Merger Agreement”). Pursuant to the Merger Agreement, on January 23, 2026 (the “Closing Date”), the Company completed the acquisition of all of the outstanding equity of Astria and Merger Sub merged with and into Astria, with Astria surviving as a wholly owned subsidiary of the Company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effective time of the Merger (the “Effective Time”), each share of Astria common stock, par value $0.001 per share, issued and outstanding immediately prior to the Effective Time was converted into the right to receive (i) 0.59 of a share of the Company’s common stock, par value $0.01 per share (and, if applicable, cash in lieu of fractional shares), and (ii) $8.55 in cash, without interest, subject to certain adjustments and applicable withholding taxes. Holders of Astria’s Series X Convertible Preferred Stock, warrants, and certain options were also entitled to certain consideration, as further set forth in the Merger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accounted for the Merger as an asset acquisition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 substantially all of the fair value of the gross assets acquired was concentrated in a single identifiable asset, the in-process research and development asset related to navenibart (the “IPR&amp;D – navenibart” asset). Accordingly, the total cost of the asset acquisition, including direct transaction costs incurred by the Company in connection with the Merger, was allocated to the assets acquired and liabilities assumed on a relative fair value basis.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Consideration Transferred and Purchase Price Allocation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total consideration transferred and allocation of consideration transferred to the assets acquired, liabilities assumed, and IPR&amp;D – navenibart in connection with the Merger: </w:t>
      </w:r>
    </w:p>
    <w:tbl>
      <w:tblPr>
        <w:tblW w:w="10205" w:type="dxa"/>
        <w:jc w:val="left"/>
        <w:tblInd w:w="0" w:type="dxa"/>
        <w:tblLayout w:type="fixed"/>
        <w:tblCellMar>
          <w:top w:w="28" w:type="dxa"/>
          <w:left w:w="28" w:type="dxa"/>
          <w:bottom w:w="28" w:type="dxa"/>
          <w:right w:w="28" w:type="dxa"/>
        </w:tblCellMar>
      </w:tblPr>
      <w:tblGrid>
        <w:gridCol w:w="2808"/>
        <w:gridCol w:w="2467"/>
        <w:gridCol w:w="2470"/>
        <w:gridCol w:w="435"/>
        <w:gridCol w:w="1705"/>
        <w:gridCol w:w="320"/>
      </w:tblGrid>
      <w:tr>
        <w:trPr/>
        <w:tc>
          <w:tcPr>
            <w:tcW w:w="280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consideration</w:t>
            </w:r>
            <w:r>
              <w:rPr>
                <w:rFonts w:ascii="Times New Roman;serif" w:hAnsi="Times New Roman;serif"/>
                <w:b w:val="false"/>
                <w:color w:val="000000"/>
                <w:sz w:val="13"/>
              </w:rPr>
              <w:t>1</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transaction costs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investments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 receivables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 of use asset  </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IPR&amp;D - navenibart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Assembled workforce</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 current</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current</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Operating lease liabilities, net of current portion </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 net of current portion</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874,313 </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Consists of the issuance of 37,282 shares of the Company’s common stock multiplied by the Company’s common stock closing price of $6.75 per share on January 22, 2026. </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entire amount allocated to the IPR&amp;D – navenibart asset was expensed in accordance with ASC Topic 730,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Of the total value ascribed to the IPR&amp;D – navenibart asset, $7,506 related to direct transaction costs incurred prior to the transaction close and were recorded in selling, general and administrative expense in the Consolidated Statement of Comprehensive Income (Loss) for the year ended December 31, 2025. The remaining value ascribed to the IPR&amp;D – navenibart asset of $697,761 was recognized in acquired in-process research and development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Statement of Comprehensive Income (Loss) for the six months ended June 30, 2026. The amount allocated to the assembled workforce was amortized over two months to reflect the estimated benefit derived from that asset which resulted in amortization expense of $600 being recognized in research and development expense in the Condensed Consolidated Statement of Comprehensive Income (Loss) for the six months ended June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Astria Stock Options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vesting of outstanding in-the-money Astria stock options was accelerated and the options were cancelled in exchange for a cash payment equal to the product of the difference between $13.00 and the option’s exercise price and the number of shares underlying the option, for total consideration of $43,403. Options with an exercise price equal to or exceeding $13.00 were cancelled for no consideration. The total consideration was allocated between the portion attributable to pre</w:t>
        <w:noBreakHyphen/>
        <w:t>combination service, not to exceed the fair value of the underlying options, and the portion attributable to post</w:t>
        <w:noBreakHyphen/>
        <w:t>combination service. The amount attributable to pre</w:t>
        <w:noBreakHyphen/>
        <w:t>combination service was measured based on the fair value of the options immediately prior to cash settlement, totaling $14,274, and was included in the total purchase price as cash consideration. The remaining $29,129 was attributable to post-combination service, of which $10,709 was recognized in research and development expense and $18,420 was recognized in selling, general and administrative expense in the Condensed Consolidated Statement of Comprehensive Income (Loss) for the six months ended June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Separation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the Closing Date, the Company entered into separation agreements with certain Astria employees. The Company recognized $11,927 of costs associated with the separation agreements during the six months ended June 30, 2026, of which $3,954 was recognized in research and development expense and $7,973 was recognized in selling, general and administrative expense in the Condensed Consolidated Statement of Comprehensive (Loss) Income for the six months ended June 30, 2026. The following table summarizes the accrued liability activity recorded in connection with the separation agreements for the six months ended June 30, 2026:</w:t>
      </w:r>
    </w:p>
    <w:tbl>
      <w:tblPr>
        <w:tblW w:w="8091" w:type="dxa"/>
        <w:jc w:val="left"/>
        <w:tblInd w:w="0" w:type="dxa"/>
        <w:tblLayout w:type="fixed"/>
        <w:tblCellMar>
          <w:top w:w="28" w:type="dxa"/>
          <w:left w:w="28" w:type="dxa"/>
          <w:bottom w:w="28" w:type="dxa"/>
          <w:right w:w="28" w:type="dxa"/>
        </w:tblCellMar>
      </w:tblPr>
      <w:tblGrid>
        <w:gridCol w:w="2574"/>
        <w:gridCol w:w="2261"/>
        <w:gridCol w:w="2275"/>
        <w:gridCol w:w="211"/>
        <w:gridCol w:w="616"/>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June 30, 2026</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the separation agreements. The remaining unpaid costs are expected to be disbursed by September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3</w:t>
      </w:r>
      <w:r>
        <w:rPr>
          <w:color w:val="000000"/>
        </w:rPr>
        <w:t xml:space="preserve"> — </w:t>
      </w:r>
      <w:r>
        <w:rPr>
          <w:rFonts w:ascii="Times New Roman;serif" w:hAnsi="Times New Roman;serif"/>
          <w:b/>
          <w:color w:val="000000"/>
          <w:sz w:val="20"/>
        </w:rPr>
        <w:t>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six months ended June 30, 2026 and 2025:</w:t>
      </w:r>
    </w:p>
    <w:tbl>
      <w:tblPr>
        <w:tblW w:w="7938" w:type="dxa"/>
        <w:jc w:val="left"/>
        <w:tblInd w:w="0" w:type="dxa"/>
        <w:tblLayout w:type="fixed"/>
        <w:tblCellMar>
          <w:top w:w="28" w:type="dxa"/>
          <w:left w:w="28" w:type="dxa"/>
          <w:bottom w:w="28" w:type="dxa"/>
          <w:right w:w="28" w:type="dxa"/>
        </w:tblCellMar>
      </w:tblPr>
      <w:tblGrid>
        <w:gridCol w:w="842"/>
        <w:gridCol w:w="740"/>
        <w:gridCol w:w="742"/>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ORLADEYO revenue includes product sales and royalties. License and other revenues includes revenue recognized related to the Kaken License Agreement and Neopharmed License Agreement (see “</w:t>
      </w:r>
      <w:r>
        <w:rPr>
          <w:rFonts w:ascii="Times New Roman;serif" w:hAnsi="Times New Roman;serif"/>
          <w:b w:val="false"/>
          <w:i/>
          <w:color w:val="000000"/>
          <w:sz w:val="20"/>
        </w:rPr>
        <w:t>Note 12—Collaborative and Other Relationships”</w:t>
      </w:r>
      <w:r>
        <w:rPr>
          <w:rFonts w:ascii="Times New Roman;serif" w:hAnsi="Times New Roman;serif"/>
          <w:b w:val="false"/>
          <w:color w:val="000000"/>
          <w:sz w:val="20"/>
        </w:rPr>
        <w:t>), quarterly royalty payments from BioCryst Ireland Limited (see “</w:t>
      </w:r>
      <w:r>
        <w:rPr>
          <w:rFonts w:ascii="Times New Roman;serif" w:hAnsi="Times New Roman;serif"/>
          <w:b w:val="false"/>
          <w:i/>
          <w:color w:val="000000"/>
          <w:sz w:val="20"/>
        </w:rPr>
        <w:t>Note 1—Significant Accounting Policies and Concentrations of Risk”</w:t>
      </w:r>
      <w:r>
        <w:rPr>
          <w:rFonts w:ascii="Times New Roman;serif" w:hAnsi="Times New Roman;serif"/>
          <w:b w:val="false"/>
          <w:color w:val="000000"/>
          <w:sz w:val="20"/>
        </w:rPr>
        <w:t xml:space="preserve">), and product sales and royalty revenue related to peramivir.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customers in the U.S. represented approximately 97% and 96% of ORLADEYO revenues for the three and six months ended June 30, 2026, respectively. Revenues from customers in the U.S. represented approximately 89% of ORLADEYO revenues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Fair Value Measurements and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Level 1 — observable inputs such as quoted prices in active markets for identical assets;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Level 2 — inputs other than the quoted prices in active markets that are observable either directly or indirectly;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 — unobservable inputs for which there is little or no market data, which requires the Company to develop its own assumptions.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w:t>
      </w:r>
    </w:p>
    <w:tbl>
      <w:tblPr>
        <w:tblW w:w="10205" w:type="dxa"/>
        <w:jc w:val="left"/>
        <w:tblInd w:w="0" w:type="dxa"/>
        <w:tblLayout w:type="fixed"/>
        <w:tblCellMar>
          <w:top w:w="28" w:type="dxa"/>
          <w:left w:w="28" w:type="dxa"/>
          <w:bottom w:w="28" w:type="dxa"/>
          <w:right w:w="28" w:type="dxa"/>
        </w:tblCellMar>
      </w:tblPr>
      <w:tblGrid>
        <w:gridCol w:w="1065"/>
        <w:gridCol w:w="616"/>
        <w:gridCol w:w="620"/>
        <w:gridCol w:w="357"/>
        <w:gridCol w:w="1223"/>
        <w:gridCol w:w="184"/>
        <w:gridCol w:w="109"/>
        <w:gridCol w:w="109"/>
        <w:gridCol w:w="109"/>
        <w:gridCol w:w="359"/>
        <w:gridCol w:w="1408"/>
        <w:gridCol w:w="185"/>
        <w:gridCol w:w="109"/>
        <w:gridCol w:w="109"/>
        <w:gridCol w:w="109"/>
        <w:gridCol w:w="584"/>
        <w:gridCol w:w="1123"/>
        <w:gridCol w:w="303"/>
        <w:gridCol w:w="109"/>
        <w:gridCol w:w="109"/>
        <w:gridCol w:w="109"/>
        <w:gridCol w:w="211"/>
        <w:gridCol w:w="826"/>
        <w:gridCol w:w="160"/>
      </w:tblGrid>
      <w:tr>
        <w:trPr/>
        <w:tc>
          <w:tcPr>
            <w:tcW w:w="106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57,306 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57,306 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218,543 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275,849 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0"/>
        <w:gridCol w:w="752"/>
        <w:gridCol w:w="620"/>
        <w:gridCol w:w="357"/>
        <w:gridCol w:w="1223"/>
        <w:gridCol w:w="184"/>
        <w:gridCol w:w="109"/>
        <w:gridCol w:w="109"/>
        <w:gridCol w:w="109"/>
        <w:gridCol w:w="359"/>
        <w:gridCol w:w="1408"/>
        <w:gridCol w:w="185"/>
        <w:gridCol w:w="109"/>
        <w:gridCol w:w="109"/>
        <w:gridCol w:w="109"/>
        <w:gridCol w:w="584"/>
        <w:gridCol w:w="1123"/>
        <w:gridCol w:w="303"/>
        <w:gridCol w:w="109"/>
        <w:gridCol w:w="109"/>
        <w:gridCol w:w="109"/>
        <w:gridCol w:w="211"/>
        <w:gridCol w:w="826"/>
        <w:gridCol w:w="159"/>
      </w:tblGrid>
      <w:tr>
        <w:trPr/>
        <w:tc>
          <w:tcPr>
            <w:tcW w:w="93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investments:</w:t>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1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w:t>
      </w:r>
    </w:p>
    <w:tbl>
      <w:tblPr>
        <w:tblW w:w="10205" w:type="dxa"/>
        <w:jc w:val="left"/>
        <w:tblInd w:w="0" w:type="dxa"/>
        <w:tblLayout w:type="fixed"/>
        <w:tblCellMar>
          <w:top w:w="28" w:type="dxa"/>
          <w:left w:w="28" w:type="dxa"/>
          <w:bottom w:w="28" w:type="dxa"/>
          <w:right w:w="28" w:type="dxa"/>
        </w:tblCellMar>
      </w:tblPr>
      <w:tblGrid>
        <w:gridCol w:w="1332"/>
        <w:gridCol w:w="1168"/>
        <w:gridCol w:w="1176"/>
        <w:gridCol w:w="211"/>
        <w:gridCol w:w="826"/>
        <w:gridCol w:w="109"/>
        <w:gridCol w:w="109"/>
        <w:gridCol w:w="109"/>
        <w:gridCol w:w="109"/>
        <w:gridCol w:w="217"/>
        <w:gridCol w:w="480"/>
        <w:gridCol w:w="114"/>
        <w:gridCol w:w="109"/>
        <w:gridCol w:w="109"/>
        <w:gridCol w:w="109"/>
        <w:gridCol w:w="301"/>
        <w:gridCol w:w="579"/>
        <w:gridCol w:w="156"/>
        <w:gridCol w:w="109"/>
        <w:gridCol w:w="109"/>
        <w:gridCol w:w="109"/>
        <w:gridCol w:w="272"/>
        <w:gridCol w:w="622"/>
        <w:gridCol w:w="142"/>
        <w:gridCol w:w="109"/>
        <w:gridCol w:w="109"/>
        <w:gridCol w:w="109"/>
        <w:gridCol w:w="211"/>
        <w:gridCol w:w="826"/>
        <w:gridCol w:w="155"/>
      </w:tblGrid>
      <w:tr>
        <w:trPr/>
        <w:tc>
          <w:tcPr>
            <w:tcW w:w="133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69"/>
        <w:gridCol w:w="475"/>
        <w:gridCol w:w="192"/>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consist of fixed income securities whose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25 securities with a total estimated fair value of $185,122 in an unrealized loss position. The unrealized losses were primarily attributable to changes in market interest rates and not to deterioration in the credit quality of the issuers. The Company does not have an intent to sell these investments, and it is more likely than not that the investments will be held until recovery of their amortized cost basis. As such, no allowance was recognized.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June 30, 2026 and December 31, 2025:</w:t>
      </w:r>
    </w:p>
    <w:tbl>
      <w:tblPr>
        <w:tblW w:w="6895" w:type="dxa"/>
        <w:jc w:val="left"/>
        <w:tblInd w:w="0" w:type="dxa"/>
        <w:tblLayout w:type="fixed"/>
        <w:tblCellMar>
          <w:top w:w="28" w:type="dxa"/>
          <w:left w:w="28" w:type="dxa"/>
          <w:bottom w:w="28" w:type="dxa"/>
          <w:right w:w="28" w:type="dxa"/>
        </w:tblCellMar>
      </w:tblPr>
      <w:tblGrid>
        <w:gridCol w:w="1277"/>
        <w:gridCol w:w="1122"/>
        <w:gridCol w:w="1126"/>
        <w:gridCol w:w="234"/>
        <w:gridCol w:w="919"/>
        <w:gridCol w:w="121"/>
        <w:gridCol w:w="109"/>
        <w:gridCol w:w="109"/>
        <w:gridCol w:w="109"/>
        <w:gridCol w:w="313"/>
        <w:gridCol w:w="1228"/>
        <w:gridCol w:w="22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Company’s trade receivables from product sales of ORLADEYO and peramivir and license and other revenues consisted of the following: </w:t>
      </w:r>
    </w:p>
    <w:tbl>
      <w:tblPr>
        <w:tblW w:w="5694" w:type="dxa"/>
        <w:jc w:val="left"/>
        <w:tblInd w:w="0" w:type="dxa"/>
        <w:tblLayout w:type="fixed"/>
        <w:tblCellMar>
          <w:top w:w="28" w:type="dxa"/>
          <w:left w:w="28" w:type="dxa"/>
          <w:bottom w:w="28" w:type="dxa"/>
          <w:right w:w="28" w:type="dxa"/>
        </w:tblCellMar>
      </w:tblPr>
      <w:tblGrid>
        <w:gridCol w:w="842"/>
        <w:gridCol w:w="740"/>
        <w:gridCol w:w="742"/>
        <w:gridCol w:w="234"/>
        <w:gridCol w:w="919"/>
        <w:gridCol w:w="121"/>
        <w:gridCol w:w="109"/>
        <w:gridCol w:w="109"/>
        <w:gridCol w:w="109"/>
        <w:gridCol w:w="313"/>
        <w:gridCol w:w="1228"/>
        <w:gridCol w:w="228"/>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Peramivir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receivables</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106,818 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pPr>
      <w:r>
        <w:rPr>
          <w:rFonts w:ascii="Times New Roman;serif" w:hAnsi="Times New Roman;serif"/>
          <w:b/>
          <w:color w:val="000000"/>
          <w:sz w:val="20"/>
        </w:rPr>
        <w:t xml:space="preserve">Note 6 </w:t>
      </w:r>
      <w:r>
        <w:rPr>
          <w:color w:val="000000"/>
        </w:rPr>
        <w:t xml:space="preserve">— </w:t>
      </w:r>
      <w:r>
        <w:rPr>
          <w:rFonts w:ascii="Times New Roman;serif" w:hAnsi="Times New Roman;serif"/>
          <w:b/>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Company’s inventory related to ORLADEYO and peramivir consisted of the following: </w:t>
      </w:r>
    </w:p>
    <w:tbl>
      <w:tblPr>
        <w:tblW w:w="5111" w:type="dxa"/>
        <w:jc w:val="left"/>
        <w:tblInd w:w="0" w:type="dxa"/>
        <w:tblLayout w:type="fixed"/>
        <w:tblCellMar>
          <w:top w:w="28" w:type="dxa"/>
          <w:left w:w="28" w:type="dxa"/>
          <w:bottom w:w="28" w:type="dxa"/>
          <w:right w:w="28" w:type="dxa"/>
        </w:tblCellMar>
      </w:tblPr>
      <w:tblGrid>
        <w:gridCol w:w="630"/>
        <w:gridCol w:w="552"/>
        <w:gridCol w:w="558"/>
        <w:gridCol w:w="258"/>
        <w:gridCol w:w="883"/>
        <w:gridCol w:w="133"/>
        <w:gridCol w:w="109"/>
        <w:gridCol w:w="109"/>
        <w:gridCol w:w="109"/>
        <w:gridCol w:w="344"/>
        <w:gridCol w:w="1175"/>
        <w:gridCol w:w="25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30,163 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7 </w:t>
      </w:r>
      <w:r>
        <w:rPr>
          <w:color w:val="000000"/>
        </w:rPr>
        <w:t xml:space="preserve">— </w:t>
      </w:r>
      <w:r>
        <w:rPr>
          <w:rFonts w:ascii="Times New Roman;serif" w:hAnsi="Times New Roman;serif"/>
          <w:b/>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royalties payable under the 2021 RPI Royalty Purchase Agreement are in addition to the royalties payable to RPI under the 2020 RPI Royalty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The premium was deferred and is being amortized through interest expense using the effective interest method over the term of the applicable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 As of June 30, 2026, cumulative royalties paid and payable under the OMERS Royalty Purchase Agreement were $120,694.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transactions contemplated by each of the Royalty Purchase Agreements are referred to herein as the “Royalty Sales”.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Pharmakon Loan Agreement (as defined in Note 8 herein) through its payoff and termination on October 8, 2025 or, subsequent to that date, the Blackstone Loan Agreement (as defined in Note 8 herein), as applicable.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 xml:space="preserve">for further details on the Pharmakon Loan Agreement and Blackstone Loan Agreement. The restrictions under the Royalty Purchase Agreements on the ability of the Company or any of its subsidiaries to incur indebtedness are eliminated after the achievement of certain specified milestones in the Royalty Purchase Agreements.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Stock Purchase Agreement, RPI and OMERS provided their written consent of the consummation of the sale of the Company’s European ORLADEYO business. Concurrent with the closing of the transaction on October 1, 2025, Neopharmed paid a $15,000 royalty release fee to RPI on behalf of the Company and the Company paid a $500 royalty release fee to OMERS. The payments were accounted for as a debt modification and the royalty release fees, totaling $15,500, were capitalized as a reduction to royalty financing obligations and are being amortized as interest expense over the terms of the arrangements using the effective interest rate method. In accordance with the Stock Purchase Agreement, the Company receives quarterly royalty payments from BioCryst Ireland equal to amounts owed under its Royalty Purchase Agreements with RPI and OMERS for the sale of ORLADEYO products in the Territory. During the three and six months ended June 30, 2026, the Company recognized $2,873 and $5,889, respectively, in license and other revenues in the Condensed Consolidated Statements of Comprehensive Income (Loss) related to the quarterly royalty payments from BioCryst Ireland.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cash consideration obtained pursuant to the Royalty Purchase Agreements was recorded in royalty financing obligations in the Company’s Condensed Consolidated Balance Sheets. Deferred financing costs, which consisted primarily of advisory and legal fees, were capitalized as a reduction to royalty financing obligations and are amortized using the effective interest method over the terms of the arrangements. At inception, the royalty financing obligations were measured at fair value based on the Company’s estimates of future royalties expected to be paid to the counterparties over the terms of the arrangements. The Company subsequently records the obligations using the effective interest method. As of June 30, 2026 and December 31, 2025, the carrying values of the royalty financing obligations approximated their fair values and were measured based on the Company’s current estimates of future payments to RPI and OMERS over the lives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the arrangements, which are considered Level 3 inputs. The Company utilizes the prospective method to account for changes in estimated future royalty payments. Under the prospective method, revised estimates of future cash flows result in the determination of new effective interest rates that equate the present value of the revised estimated remaining cash flows with the carrying amounts of the royalty financing obligations. The revised effective interest rate is used prospectively to recognize interest expense for the remaining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assesses the amount and timing of expected royalty payments based on internal projections of future net product sales, which are based on key assumptions, including paid patients and price. If projected royalty payments for the next twelve months exceed interest accretion for the same period, the excess is classified as a current liability in the Company’s Condensed Consolidated Balance Sheets.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three and six months ended June 30, 2026, as well as the effective interest rate as of June 30, 2026: </w:t>
      </w:r>
    </w:p>
    <w:tbl>
      <w:tblPr>
        <w:tblW w:w="10205" w:type="dxa"/>
        <w:jc w:val="left"/>
        <w:tblInd w:w="0" w:type="dxa"/>
        <w:tblLayout w:type="fixed"/>
        <w:tblCellMar>
          <w:top w:w="28" w:type="dxa"/>
          <w:left w:w="28" w:type="dxa"/>
          <w:bottom w:w="28" w:type="dxa"/>
          <w:right w:w="28" w:type="dxa"/>
        </w:tblCellMar>
      </w:tblPr>
      <w:tblGrid>
        <w:gridCol w:w="1504"/>
        <w:gridCol w:w="1298"/>
        <w:gridCol w:w="130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5"/>
      </w:tblGrid>
      <w:tr>
        <w:trPr/>
        <w:tc>
          <w:tcPr>
            <w:tcW w:w="150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465,688 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paid and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$18,318 and $26,788 for the three and six months ended June 30, 2026, respectively. Cash paid for interest on the royalty financing obligations was $22,372 and $36,921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8 </w:t>
      </w:r>
      <w:r>
        <w:rPr>
          <w:color w:val="000000"/>
        </w:rPr>
        <w:t xml:space="preserve">— </w:t>
      </w:r>
      <w:r>
        <w:rPr>
          <w:rFonts w:ascii="Times New Roman;serif" w:hAnsi="Times New Roman;serif"/>
          <w:b/>
          <w:color w:val="000000"/>
          <w:sz w:val="20"/>
        </w:rPr>
        <w:t>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January 23, 2026, the Company entered into a Loan Agreement (the “Blackstone Loan Agreement”) with Blackstone Alternative Credit Advisors LP and Blackstone Life Sciences Advisors L.L.C. (together, “Blackstone”), the guarantors and lenders from time to time party thereto, and Wilmington Trust, National Association, as agent, pursuant to which the Company borrowed $400,000 in aggregate principal amount of term loans (the “Term Loans”). The Term Loans were funded on January 23, 2026 (the “Term Loans Closing Date”), and the proceeds were used to fund the cash portion of the consideration for the acquisition of Astria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 Subject to the mutual agreement between the Company, Blackstone and the lenders, the Company may request additional term loans of up to $150,000 in the aggregate.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January 23, 2031 (the “Maturity Date”) and require quarterly interest-only payments until the Maturity Date, with outstanding principal due at maturity. Interest accrues at a rate equal to the three-month Secured Overnight Financing Rate (“SOFR”), subject to a floor of 1.75%, plus 4.50% per annum.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second anniversary of the Term Loans Closing Date, and provided that no event of default is ongoing, the Company may elect to pay a portion of the applicable interest payment in-kind (a “Blackstone PIK Interest Payment”) by capitalizing as principal up to 200 basis points of interest accrued during the applicable interest period, subject to an incremental margin increase of 0.50% per annum on the capitalized portion.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make a mandatory prepayment of the Term Loans (i) upon the occurrence of a change of control, (ii) upon the incurrence of certain non-permitted indebtedness, (iii) upon the occurrence of certain asset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or (iv) upon the occurrence of certain events of loss related to the assets of the Company or its subsidiaries (subject to certain exceptions). The Company may make voluntary prepayments in whole or in part in an aggregate principal amount of $5,000 or any whole multiple of $1,000 in excess thereof. Prepayments are subject to a prepayment premium that declines over time.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Blackstone Loan Agreement contains representations and warranties and affirmative and negative covenants customary for financings of this type (including a minimum liquidity covenant), as well as customary events of default. A failure to comply with the covenants in the Blackstone Loan Agreement, or an occurrence of any other event of default, could permit the lenders under the Blackstone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Blackstone Loan Agreement are secured by a security interest in substantially all of the Company’s and its subsidiaries’ assets, subject to certain exceptions.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total borrowings of $400,000 under the Blackstone Loan Agreement. Interest expense accrued on the Term Loans for the three and six months ended June 30, 2026 totaled $8,291 and $14,465, respectively, of which $6,083 and $8,291 was paid at the end of each quarterly period, respectively, and $91 was included in accrued expenses in the Condensed Consolidated Balance Sheet as of June 30, 2026.</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fees and issuance costs incurred for the Term Loans under the Blackstone Loan Agreement totaled $4,952 and are being amortized as interest expense using the effective interest rate method over the remaining term of the Term Loans. Deferred financing amortization of $203 and $352 was recognized for the three and six months ended June 30, 2026,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debt approximates its carrying value based on prevailing interest rates as of the condensed consolidated balance sheet date and is considered as Level 2 in the fair value hierarchy.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 owned subsidiaries were guarantors to the Pharmakon Loan Agreement. The Pharmakon Loan Agreement provided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provided for quarterly interest-only payments until the maturity date of April 17, 2028, with the unpaid principal amount of the outstanding Tranche A Loan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Tranche A Loan bore interest at a rate equal to the three-month SOFR, which could be no less than 1.75%, plus 7.00%, per annum or, for each interest period in which a Pharmakon PIK Interest Payment was made, with respect to the Tranche A Loan, SOFR plus 7.25%, per annum.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Tranche A Loan accrued interest at an effective interest rate of 12.29% for the three months ended June 30, 2025. Interest expense on the Tranche A Loan for the three and six months ended June 30, 2025 was $7,526 and $16,679, respectively, all of which was paid at the end of each quarterly period. Deferred financing amortization for the three and six months ended June 30, 2025 was $459 and $1,003,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18, 2025, the Company made a $75,000 partial prepayment on the outstanding principal amount under the Tranche A Loan. In conjunction with the partial prepayment, the Company incurred a $2,250 prepayment premium and paid $424 of interest accrued through the payment date. Additionally, unamortized deferred financing costs of $1,921 associated with the Tranche A Loan were written-off at the time of repayment. Collectively, the prepayment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 totaled $4,171 and were reflected as a one-time loss on extinguishment of debt in the Condensed Consolidated Statements of Comprehensive Income (Loss) for the three and six months ended June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paid off in full the remainder of the outstanding principal balance on the Tranche A Loan of $248,704 as of June 30, 2025 in two separate prepayments in the third and fourth quarters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9 </w:t>
      </w:r>
      <w:r>
        <w:rPr>
          <w:color w:val="000000"/>
        </w:rPr>
        <w:t xml:space="preserve">— </w:t>
      </w:r>
      <w:r>
        <w:rPr>
          <w:rFonts w:ascii="Times New Roman;serif" w:hAnsi="Times New Roman;serif"/>
          <w:b/>
          <w:color w:val="000000"/>
          <w:sz w:val="20"/>
        </w:rPr>
        <w:t xml:space="preserve">Lease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assets under operating leases, which primarily consist of real estate leases, and finance leases, which generally consist of laboratory equipment leases and office equipment leases. The Company’s real estate agreements expire at various times between 2028 through 2033 and its Birmingham and Durham leases include renewal options that range from three to five years in length.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w:t>
      </w:r>
    </w:p>
    <w:tbl>
      <w:tblPr>
        <w:tblW w:w="8255" w:type="dxa"/>
        <w:jc w:val="left"/>
        <w:tblInd w:w="0" w:type="dxa"/>
        <w:tblLayout w:type="fixed"/>
        <w:tblCellMar>
          <w:top w:w="28" w:type="dxa"/>
          <w:left w:w="28" w:type="dxa"/>
          <w:bottom w:w="28" w:type="dxa"/>
          <w:right w:w="28" w:type="dxa"/>
        </w:tblCellMar>
      </w:tblPr>
      <w:tblGrid>
        <w:gridCol w:w="1043"/>
        <w:gridCol w:w="916"/>
        <w:gridCol w:w="921"/>
        <w:gridCol w:w="291"/>
        <w:gridCol w:w="644"/>
        <w:gridCol w:w="150"/>
        <w:gridCol w:w="150"/>
        <w:gridCol w:w="150"/>
        <w:gridCol w:w="150"/>
        <w:gridCol w:w="291"/>
        <w:gridCol w:w="644"/>
        <w:gridCol w:w="150"/>
        <w:gridCol w:w="109"/>
        <w:gridCol w:w="109"/>
        <w:gridCol w:w="109"/>
        <w:gridCol w:w="228"/>
        <w:gridCol w:w="667"/>
        <w:gridCol w:w="118"/>
        <w:gridCol w:w="118"/>
        <w:gridCol w:w="118"/>
        <w:gridCol w:w="118"/>
        <w:gridCol w:w="228"/>
        <w:gridCol w:w="667"/>
        <w:gridCol w:w="166"/>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6798" w:type="dxa"/>
        <w:jc w:val="left"/>
        <w:tblInd w:w="0" w:type="dxa"/>
        <w:tblLayout w:type="fixed"/>
        <w:tblCellMar>
          <w:top w:w="28" w:type="dxa"/>
          <w:left w:w="28" w:type="dxa"/>
          <w:bottom w:w="28" w:type="dxa"/>
          <w:right w:w="28" w:type="dxa"/>
        </w:tblCellMar>
      </w:tblPr>
      <w:tblGrid>
        <w:gridCol w:w="1220"/>
        <w:gridCol w:w="1074"/>
        <w:gridCol w:w="1081"/>
        <w:gridCol w:w="327"/>
        <w:gridCol w:w="289"/>
        <w:gridCol w:w="711"/>
        <w:gridCol w:w="109"/>
        <w:gridCol w:w="109"/>
        <w:gridCol w:w="109"/>
        <w:gridCol w:w="360"/>
        <w:gridCol w:w="360"/>
        <w:gridCol w:w="1049"/>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June 30, 2026 are as follows: </w:t>
      </w:r>
    </w:p>
    <w:tbl>
      <w:tblPr>
        <w:tblW w:w="5200" w:type="dxa"/>
        <w:jc w:val="left"/>
        <w:tblInd w:w="0" w:type="dxa"/>
        <w:tblLayout w:type="fixed"/>
        <w:tblCellMar>
          <w:top w:w="28" w:type="dxa"/>
          <w:left w:w="28" w:type="dxa"/>
          <w:bottom w:w="28" w:type="dxa"/>
          <w:right w:w="28" w:type="dxa"/>
        </w:tblCellMar>
      </w:tblPr>
      <w:tblGrid>
        <w:gridCol w:w="668"/>
        <w:gridCol w:w="586"/>
        <w:gridCol w:w="591"/>
        <w:gridCol w:w="322"/>
        <w:gridCol w:w="1101"/>
        <w:gridCol w:w="166"/>
        <w:gridCol w:w="109"/>
        <w:gridCol w:w="109"/>
        <w:gridCol w:w="109"/>
        <w:gridCol w:w="309"/>
        <w:gridCol w:w="904"/>
        <w:gridCol w:w="22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10135" w:type="dxa"/>
        <w:jc w:val="left"/>
        <w:tblInd w:w="0" w:type="dxa"/>
        <w:tblLayout w:type="fixed"/>
        <w:tblCellMar>
          <w:top w:w="28" w:type="dxa"/>
          <w:left w:w="28" w:type="dxa"/>
          <w:bottom w:w="28" w:type="dxa"/>
          <w:right w:w="28" w:type="dxa"/>
        </w:tblCellMar>
      </w:tblPr>
      <w:tblGrid>
        <w:gridCol w:w="2796"/>
        <w:gridCol w:w="2451"/>
        <w:gridCol w:w="2463"/>
        <w:gridCol w:w="244"/>
        <w:gridCol w:w="715"/>
        <w:gridCol w:w="126"/>
        <w:gridCol w:w="126"/>
        <w:gridCol w:w="126"/>
        <w:gridCol w:w="126"/>
        <w:gridCol w:w="244"/>
        <w:gridCol w:w="540"/>
        <w:gridCol w:w="178"/>
      </w:tblGrid>
      <w:tr>
        <w:trPr/>
        <w:tc>
          <w:tcPr>
            <w:tcW w:w="2796"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to operating lease assets due to remeasurement of operating lease liabilities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to finance lease assets due to remeasurement of finance lease liabilities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10 </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Issuance of Common Stock</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November 20, 2025, the Company filed with the SEC, and amended on December 15, 2025, a registration statement on Form S-4. This registration statement was declared effective by the SEC on December 18, 2025 and registered the Company’s offer of up to 45,000 shares of the Company’s common stock in connection with the Merger (as defined in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herein).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January 23, 2026, the Company issued 37,282 shares of common stock to Astria’s equity holders in connection with the Merger (see “</w:t>
      </w:r>
      <w:r>
        <w:rPr>
          <w:rFonts w:ascii="Times New Roman;serif" w:hAnsi="Times New Roman;serif"/>
          <w:b w:val="false"/>
          <w:i/>
          <w:color w:val="000000"/>
          <w:sz w:val="20"/>
        </w:rPr>
        <w:t>Note 2—Acquisition of Astria Therapeutics, Inc.”</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9939" w:type="dxa"/>
        <w:jc w:val="left"/>
        <w:tblInd w:w="0" w:type="dxa"/>
        <w:tblLayout w:type="fixed"/>
        <w:tblCellMar>
          <w:top w:w="28" w:type="dxa"/>
          <w:left w:w="28" w:type="dxa"/>
          <w:bottom w:w="28" w:type="dxa"/>
          <w:right w:w="28" w:type="dxa"/>
        </w:tblCellMar>
      </w:tblPr>
      <w:tblGrid>
        <w:gridCol w:w="2379"/>
        <w:gridCol w:w="2092"/>
        <w:gridCol w:w="2098"/>
        <w:gridCol w:w="424"/>
        <w:gridCol w:w="424"/>
        <w:gridCol w:w="426"/>
        <w:gridCol w:w="109"/>
        <w:gridCol w:w="109"/>
        <w:gridCol w:w="109"/>
        <w:gridCol w:w="517"/>
        <w:gridCol w:w="517"/>
        <w:gridCol w:w="735"/>
      </w:tblGrid>
      <w:tr>
        <w:trPr/>
        <w:tc>
          <w:tcPr>
            <w:tcW w:w="23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36,916 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43,344 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reserved for future issuance under the Inducement Equity Incentive Plan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8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70,573 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68,496 </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11 </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20, 2026 and approved by the Company’s stockholders on June 11, 2026.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tbl>
      <w:tblPr>
        <w:tblW w:w="9270" w:type="dxa"/>
        <w:jc w:val="left"/>
        <w:tblInd w:w="0" w:type="dxa"/>
        <w:tblLayout w:type="fixed"/>
        <w:tblCellMar>
          <w:top w:w="28" w:type="dxa"/>
          <w:left w:w="28" w:type="dxa"/>
          <w:bottom w:w="28" w:type="dxa"/>
          <w:right w:w="28" w:type="dxa"/>
        </w:tblCellMar>
      </w:tblPr>
      <w:tblGrid>
        <w:gridCol w:w="1251"/>
        <w:gridCol w:w="1097"/>
        <w:gridCol w:w="1102"/>
        <w:gridCol w:w="467"/>
        <w:gridCol w:w="338"/>
        <w:gridCol w:w="338"/>
        <w:gridCol w:w="241"/>
        <w:gridCol w:w="241"/>
        <w:gridCol w:w="241"/>
        <w:gridCol w:w="467"/>
        <w:gridCol w:w="338"/>
        <w:gridCol w:w="338"/>
        <w:gridCol w:w="109"/>
        <w:gridCol w:w="109"/>
        <w:gridCol w:w="109"/>
        <w:gridCol w:w="211"/>
        <w:gridCol w:w="736"/>
        <w:gridCol w:w="109"/>
        <w:gridCol w:w="109"/>
        <w:gridCol w:w="109"/>
        <w:gridCol w:w="109"/>
        <w:gridCol w:w="211"/>
        <w:gridCol w:w="73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13,123</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38,609</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14,692</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42,672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Extension of Exercise Period</w:t>
      </w:r>
    </w:p>
    <w:p>
      <w:pPr>
        <w:pStyle w:val="TextBody"/>
        <w:bidi w:val="0"/>
        <w:spacing w:lineRule="auto" w:line="276" w:before="240" w:after="283"/>
        <w:ind w:left="0" w:right="0" w:firstLine="540"/>
        <w:jc w:val="left"/>
        <w:rPr/>
      </w:pPr>
      <w:r>
        <w:rPr>
          <w:rFonts w:ascii="Times New Roman;serif" w:hAnsi="Times New Roman;serif"/>
          <w:b w:val="false"/>
          <w:color w:val="000000"/>
          <w:sz w:val="20"/>
        </w:rPr>
        <w:t xml:space="preserve">In December 2025, the Company extended the post-termination exercise period of certain vested stock option awards at the time of retirement for certain individuals to the original expiration date of the option awards. The Company considered this to be a modification of existing awards under ASC Topic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(“Topic 718”) and determined the incremental fair value associated with the modification using a binomial lattice model. In connection with the modification, the Company recognized incremental stock-based compensation expense of $2,848 and $6,432 during the three and six months ended June 30, 2026, respectively.</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Sale of the European ORLADEYO Business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European ORLADEYO business on October 1, 2025, the Company modified certain outstanding stock option awards and restricted stock unit awards held by employees who transferred to Neopharmed. Under the original terms of the Company’s Incentive Plan and Inducement Plan, unvested awards would have been forfeited upon the employees’ termination with the Company at closing. As part of the transaction, the Company approved modifications that (i) allowed previously unvested awards to continue to vest based on continued service to Neopharmed after Closing and (ii) extended the post-termination exercise period for certain vested stock option awards.</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modified awards vest, and for certain vested stock options remain exercisable, only if the employees remain employed by Neopharmed for specified periods following the closing of the transaction. Because the vesting of the modified awards depends on service to Neopharmed, the awards contain an “other” condition under Topic 718 and are therefore classified as liability awards until the required service to Neopharmed is provided.</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continued vesting of unvested awards as a Type III modification under Topic 718 and measured the awards at their modification-date fair value. The extension of the post-termination exercise period for certain vested stock option awards was accounted for as a Type I modification under Topic 718, with the incremental fair value measured on the modification date.</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for the modified awards is remeasured to fair value each reporting period. The options are valued using a Black-Scholes option pricing model which incorporates significant unobservable inputs. This remeasurement resulted in the recognition of a loss of $524 and $3,331 in other income (expense), net in the Consolidated Statements of Comprehensive Income (Loss) for the three and six months ended June 30, 2026, respectively, and a $43 and $680 decrease to additional paid-in capital during the three and six months ended June 30, 2026, respectively.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balances of recurring fair value measurements recognized in the Condensed Consolidated Balance Sheets using Level 3 inputs:</w:t>
      </w:r>
    </w:p>
    <w:tbl>
      <w:tblPr>
        <w:tblW w:w="4401" w:type="dxa"/>
        <w:jc w:val="left"/>
        <w:tblInd w:w="0" w:type="dxa"/>
        <w:tblLayout w:type="fixed"/>
        <w:tblCellMar>
          <w:top w:w="28" w:type="dxa"/>
          <w:left w:w="28" w:type="dxa"/>
          <w:bottom w:w="28" w:type="dxa"/>
          <w:right w:w="28" w:type="dxa"/>
        </w:tblCellMar>
      </w:tblPr>
      <w:tblGrid>
        <w:gridCol w:w="1200"/>
        <w:gridCol w:w="1054"/>
        <w:gridCol w:w="1061"/>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share-based liability</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684"/>
        <w:gridCol w:w="601"/>
        <w:gridCol w:w="604"/>
        <w:gridCol w:w="413"/>
        <w:gridCol w:w="360"/>
        <w:gridCol w:w="362"/>
        <w:gridCol w:w="109"/>
        <w:gridCol w:w="109"/>
        <w:gridCol w:w="109"/>
        <w:gridCol w:w="542"/>
        <w:gridCol w:w="1316"/>
        <w:gridCol w:w="282"/>
        <w:gridCol w:w="109"/>
        <w:gridCol w:w="109"/>
        <w:gridCol w:w="109"/>
        <w:gridCol w:w="812"/>
        <w:gridCol w:w="812"/>
        <w:gridCol w:w="814"/>
        <w:gridCol w:w="109"/>
        <w:gridCol w:w="109"/>
        <w:gridCol w:w="109"/>
        <w:gridCol w:w="313"/>
        <w:gridCol w:w="1072"/>
        <w:gridCol w:w="237"/>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38,664 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7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21,351 </w:t>
            </w:r>
          </w:p>
        </w:tc>
        <w:tc>
          <w:tcPr>
            <w:tcW w:w="3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8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the six months ended June 30, 2026 and 2025 was $8.29 and $9.55, respectively. The fair value of the restricted stock unit awards is amortized to expense over the vesting periods using a straight-line expense attribution method.</w:t>
      </w:r>
    </w:p>
    <w:p>
      <w:pPr>
        <w:pStyle w:val="TextBody"/>
        <w:bidi w:val="0"/>
        <w:spacing w:lineRule="auto" w:line="288" w:before="200" w:after="283"/>
        <w:jc w:val="left"/>
        <w:rPr/>
      </w:pPr>
      <w:r>
        <w:rPr>
          <w:rFonts w:ascii="Times New Roman;serif" w:hAnsi="Times New Roman;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690"/>
        <w:gridCol w:w="606"/>
        <w:gridCol w:w="609"/>
        <w:gridCol w:w="362"/>
        <w:gridCol w:w="361"/>
        <w:gridCol w:w="363"/>
        <w:gridCol w:w="109"/>
        <w:gridCol w:w="109"/>
        <w:gridCol w:w="109"/>
        <w:gridCol w:w="548"/>
        <w:gridCol w:w="1331"/>
        <w:gridCol w:w="286"/>
        <w:gridCol w:w="109"/>
        <w:gridCol w:w="109"/>
        <w:gridCol w:w="109"/>
        <w:gridCol w:w="821"/>
        <w:gridCol w:w="821"/>
        <w:gridCol w:w="823"/>
        <w:gridCol w:w="109"/>
        <w:gridCol w:w="109"/>
        <w:gridCol w:w="109"/>
        <w:gridCol w:w="341"/>
        <w:gridCol w:w="1001"/>
        <w:gridCol w:w="26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72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3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8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Inducement Plan, the fair value of the awards is determined based on the market value of the Company’s shares on the grant date. The weighted average grant date fair value of these awards granted during the six months ended June 30, 2026 and 2025 was $7.75 and $8.58, respectively. The fair value of the restricted stock unit awards is amortized to expense over the vesting periods using a straight-line expense attribution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Navenibart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Kaken Pharmaceutical, Co., Ltd. (“Kaken”)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August 6, 2025, Astria, which became a wholly owned subsidiary of the Company on January 23, 2026 (see “</w:t>
      </w:r>
      <w:r>
        <w:rPr>
          <w:rFonts w:ascii="Times New Roman;serif" w:hAnsi="Times New Roman;serif"/>
          <w:b w:val="false"/>
          <w:i/>
          <w:color w:val="000000"/>
          <w:sz w:val="20"/>
        </w:rPr>
        <w:t>Note 2—Acquisition of Astria Therapeutics, Inc.</w:t>
      </w:r>
      <w:r>
        <w:rPr>
          <w:color w:val="000000"/>
        </w:rPr>
        <w:t>”</w:t>
      </w:r>
      <w:r>
        <w:rPr>
          <w:rFonts w:ascii="Times New Roman;serif" w:hAnsi="Times New Roman;serif"/>
          <w:b w:val="false"/>
          <w:color w:val="000000"/>
          <w:sz w:val="20"/>
        </w:rPr>
        <w:t>), entered into a license agreement with Kaken (the “Kaken License Agreement”), granting Kaken an exclusive license to develop, package, and commercialize navenibart (the “Navenibart Licensed Product in Japan”) for the prevention of HAE attacks in Japan. The Kaken License Agreement included an upfront payment of $16,000, potential commercialization and sales milestone payments of $16,000, and tiered royalties ranging from 15% to 30% of annual net sales of the Navenibart Licensed Product in Japan. Under the terms of the Kaken License Agreement, Kaken will also provide support for the Phase 3 trial in Japan, is responsible for regulatory submissions in Japan, and will provide reimbursement for a portion of the costs associated with the navenibart Phase 3 program.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Topic 606, two performance obligations were identified under the Kaken License Agreement: (i) the performance of research and development services and (ii) the delivery of the license. The Company re-evaluates the transaction price at the end of each reporting period and adjusts the estimate as changes in circumstances occur. As of June 30, 2026, the estimated transaction price was determined to be approximately $18,268, consisting of fixed consideration of $16,000 related to the upfront payment and variable consideration of $2,268 related to the estimated reimbursement of research and development services. Variable consideration is estimated each reporting period using the expected value method based on the most current forecasts. Potential milestone payments and sales-based royalties were excluded from the transaction price as they were constrained and will be recognized if and when the related milestones or sales occur.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allocated $15,868 of the transaction price to the research and development services and the remaining $2,400 was allocated to delivery of the license. The fixed consideration was allocated to the performance obligations based on their relative standalone selling prices. The variable consideration was allocated to the performance obligation to which it is determined to be related, which is the reimbursement of research and development services to be incurred.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the research and development services is recognized over time using an input method based on costs incurred. Revenue allocated to the license will be recognized at the point in time at which control of the Navenibart Licensed Product in Japan is transferred to Kaken. During the three and six months ended June 30, 2026, the Company recognized $1,255 and $2,454 of revenue related to the Kaken License Agreement, respectively, in license and other revenues in the Condensed Consolidated Statements of Comprehensive Income (Loss). As of June 30, 2026, the deferred revenue related to the upfront payment and cost-sharing reimbursements was $11,510, of which $4,851 is classified as current and $6,659 is classified as non-current in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Neopharmed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2026, the Company announced that it entered into a license agreement with an Irish affiliate of Neopharmed (the “Neopharmed License Agreement”) granting Neopharmed exclusive rights to commercialize navenibart for the prevention of HAE attacks in specified territories in Europe (the “Navenibart Licensed Product in Europe”). The Neopharmed License Agreement included an upfront payment of $70,000, potential regulatory and sales milestone payments of $275,000, and tiered royalties ranging from 18% to 30% of annual net sales of the Navenibart Licensed Product in Europe.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Topic 606, two performance obligations were identified under the Neopharmed License Agreement: (i) the delivery of the license and (ii) the performance of research and development services. The Company re-evaluates the transaction price at the end of each reporting period and adjusts the estimate as changes in circumstances occur. As of June 30, 2026, the estimated transaction price was determined to be $70,000, consisting of the upfront payment. Potential milestone payments and sales-based royalties were excluded from the transaction price as they were fully constrained and will be recognized if and when the related milestones or sales occur.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allocated $54,513 of the transaction price to the delivery of the license and the remaining $15,487 was allocated to the research and development services. The transaction price was allocated to the performance obligations based on their relative standalone selling prices.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the license was recognized upon execution of the Neopharmed License Agreement, when control of the Navenibart Licensed Product in Europe transferred to Neopharmed. Revenue allocated to the research and development services is recognized over time using an input method based on costs incurred. During the three and six months ended June 30, 2026, the Company recognized $55,729 of revenue, comprised of $54,513 related to the delivery of the license and $1,216 related to the performance of research and development services in license and other revenues in the Condensed Consolidated Statements of Comprehensive Income (Loss). As of June 30, 2026, the deferred revenue related to the upfront payment was $14,271, of which $7,469 is classified as current and $6,802 is classified as non-current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13 </w:t>
      </w:r>
      <w:r>
        <w:rPr>
          <w:color w:val="000000"/>
        </w:rPr>
        <w:t xml:space="preserve">— </w:t>
      </w:r>
      <w:r>
        <w:rPr>
          <w:rFonts w:ascii="Times New Roman;serif" w:hAnsi="Times New Roman;serif"/>
          <w:b/>
          <w:color w:val="000000"/>
          <w:sz w:val="20"/>
        </w:rPr>
        <w:t>Workforce Reduction</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had a workforce reduction. The majority of the impacted employees had termination dates in December 2025, and certain employees exited in the first quarter of 2026. The Company notified all impacted employees in December 2025. </w:t>
      </w:r>
    </w:p>
    <w:p>
      <w:pPr>
        <w:pStyle w:val="TextBody"/>
        <w:bidi w:val="0"/>
        <w:spacing w:lineRule="auto" w:line="276" w:before="240" w:after="283"/>
        <w:ind w:left="0" w:right="0" w:firstLine="540"/>
        <w:jc w:val="left"/>
        <w:rPr/>
      </w:pPr>
      <w:r>
        <w:rPr>
          <w:rFonts w:ascii="Times New Roman;serif" w:hAnsi="Times New Roman;serif"/>
          <w:b w:val="false"/>
          <w:color w:val="000000"/>
          <w:sz w:val="20"/>
        </w:rPr>
        <w:t xml:space="preserve">In accordance with ASC Topic 712, </w:t>
      </w:r>
      <w:r>
        <w:rPr>
          <w:rFonts w:ascii="Times New Roman;serif" w:hAnsi="Times New Roman;serif"/>
          <w:b w:val="false"/>
          <w:i/>
          <w:color w:val="000000"/>
          <w:sz w:val="20"/>
        </w:rPr>
        <w:t xml:space="preserve">Nonretirement Postemployment Benefits, </w:t>
      </w:r>
      <w:r>
        <w:rPr>
          <w:rFonts w:ascii="Times New Roman;serif" w:hAnsi="Times New Roman;serif"/>
          <w:b w:val="false"/>
          <w:color w:val="000000"/>
          <w:sz w:val="20"/>
        </w:rPr>
        <w:t xml:space="preserve">and ASC Topic 420, </w:t>
      </w:r>
      <w:r>
        <w:rPr>
          <w:rFonts w:ascii="Times New Roman;serif" w:hAnsi="Times New Roman;serif"/>
          <w:b w:val="false"/>
          <w:i/>
          <w:color w:val="000000"/>
          <w:sz w:val="20"/>
        </w:rPr>
        <w:t xml:space="preserve">Exit or Disposal Costs, </w:t>
      </w:r>
      <w:r>
        <w:rPr>
          <w:rFonts w:ascii="Times New Roman;serif" w:hAnsi="Times New Roman;serif"/>
          <w:b w:val="false"/>
          <w:color w:val="000000"/>
          <w:sz w:val="20"/>
        </w:rPr>
        <w:t xml:space="preserve">the Company recognized $6,314 of costs related to the workforce reduction during the year ended December 31, 2025. As of June 30, 2026, $6,250 of the costs were paid and the remaining $64 are included within accrued expenses in the Condensed Consolidated Balance Sheet. </w:t>
      </w:r>
    </w:p>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liability activity recorded in connection with the workforce reduction for the six months ended June 30, 2026:</w:t>
      </w:r>
    </w:p>
    <w:tbl>
      <w:tblPr>
        <w:tblW w:w="6095" w:type="dxa"/>
        <w:jc w:val="left"/>
        <w:tblInd w:w="0" w:type="dxa"/>
        <w:tblLayout w:type="fixed"/>
        <w:tblCellMar>
          <w:top w:w="28" w:type="dxa"/>
          <w:left w:w="28" w:type="dxa"/>
          <w:bottom w:w="28" w:type="dxa"/>
          <w:right w:w="28" w:type="dxa"/>
        </w:tblCellMar>
      </w:tblPr>
      <w:tblGrid>
        <w:gridCol w:w="1851"/>
        <w:gridCol w:w="1627"/>
        <w:gridCol w:w="1636"/>
        <w:gridCol w:w="211"/>
        <w:gridCol w:w="616"/>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three months ended June 30, 2026</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this workforce reduction. The remaining unpaid costs are expected to be disbursed by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14 </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reportable and operating segment, centered around its commercialized product, ORLADEYO, and its pipeline with the goal of developing first-in-class or best-in-class oral small-molecule and injectable protein therapeutics to target a range of rare diseases. The determination of a single segment is consistent with the consolidated financial information regularly provided to the Company’s chief operating decision maker (“CODM”).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June 30, 2026 and December 31, 2025, the Company’s cash, cash equivalents, and investments were $352,573 and $335,911,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information about segment revenues, significant segment expenses, and segment net income (loss)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15"/>
        <w:gridCol w:w="1402"/>
        <w:gridCol w:w="1412"/>
        <w:gridCol w:w="211"/>
        <w:gridCol w:w="827"/>
        <w:gridCol w:w="109"/>
        <w:gridCol w:w="109"/>
        <w:gridCol w:w="109"/>
        <w:gridCol w:w="109"/>
        <w:gridCol w:w="211"/>
        <w:gridCol w:w="827"/>
        <w:gridCol w:w="109"/>
        <w:gridCol w:w="109"/>
        <w:gridCol w:w="109"/>
        <w:gridCol w:w="109"/>
        <w:gridCol w:w="211"/>
        <w:gridCol w:w="886"/>
        <w:gridCol w:w="109"/>
        <w:gridCol w:w="109"/>
        <w:gridCol w:w="109"/>
        <w:gridCol w:w="109"/>
        <w:gridCol w:w="211"/>
        <w:gridCol w:w="826"/>
        <w:gridCol w:w="158"/>
      </w:tblGrid>
      <w:tr>
        <w:trPr/>
        <w:tc>
          <w:tcPr>
            <w:tcW w:w="171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net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78,395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(643,417)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5,117</w:t>
            </w:r>
            <w:r>
              <w:rPr>
                <w:color w:val="000000"/>
              </w:rPr>
              <w:t>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expense categories and amounts align with the segment-level information that is regularly provided to the CODM.</w:t>
            </w:r>
          </w:p>
        </w:tc>
      </w:tr>
    </w:tbl>
    <w:p>
      <w:pPr>
        <w:pStyle w:val="TextBody"/>
        <w:bidi w:val="0"/>
        <w:spacing w:lineRule="auto" w:line="288" w:before="200" w:after="283"/>
        <w:jc w:val="left"/>
        <w:rPr/>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3—Revenue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15</w:t>
      </w:r>
      <w:r>
        <w:rPr>
          <w:color w:val="000000"/>
        </w:rPr>
        <w:t xml:space="preserve"> — </w:t>
      </w:r>
      <w:r>
        <w:rPr>
          <w:rFonts w:ascii="Times New Roman;serif" w:hAnsi="Times New Roman;serif"/>
          <w:b/>
          <w:color w:val="000000"/>
          <w:sz w:val="20"/>
        </w:rPr>
        <w:t>Commitments and Contingencies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U.S. Food and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Administration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May 2040,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Arrangements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Company has collaborative, licensing, and research and development services agreements in place for which it could be obligated to make payments upon certain developmental, regulatory, or commercial milestones, and future royalty payments, which would be reflected in the financial statements upon the occurrence of such contingent events. Except as disclosed in “</w:t>
      </w:r>
      <w:r>
        <w:rPr>
          <w:rFonts w:ascii="Times New Roman;serif" w:hAnsi="Times New Roman;serif"/>
          <w:b w:val="false"/>
          <w:i/>
          <w:color w:val="000000"/>
          <w:sz w:val="20"/>
        </w:rPr>
        <w:t>Note 12—Collaborative and Other Relationships</w:t>
      </w:r>
      <w:r>
        <w:rPr>
          <w:color w:val="000000"/>
        </w:rPr>
        <w:t>”</w:t>
      </w:r>
      <w:r>
        <w:rPr>
          <w:rFonts w:ascii="Times New Roman;serif" w:hAnsi="Times New Roman;serif"/>
          <w:b w:val="false"/>
          <w:color w:val="000000"/>
          <w:sz w:val="20"/>
        </w:rPr>
        <w:t>, there have been no changes to material arrangements during the six months ended June 30, 2026 as compared to those disclosed in “</w:t>
      </w:r>
      <w:r>
        <w:rPr>
          <w:rFonts w:ascii="Times New Roman;serif" w:hAnsi="Times New Roman;serif"/>
          <w:b w:val="false"/>
          <w:i/>
          <w:color w:val="000000"/>
          <w:sz w:val="20"/>
        </w:rPr>
        <w:t>Note 16—Collaborative and Other Relationships</w:t>
      </w:r>
      <w:r>
        <w:rPr>
          <w:color w:val="000000"/>
        </w:rPr>
        <w:t xml:space="preserve">” </w:t>
      </w:r>
      <w:r>
        <w:rPr>
          <w:rFonts w:ascii="Times New Roman;serif" w:hAnsi="Times New Roman;serif"/>
          <w:b w:val="false"/>
          <w:color w:val="000000"/>
          <w:sz w:val="20"/>
        </w:rPr>
        <w:t>to the audited consolidated financial statements in the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16</w:t>
      </w:r>
      <w:r>
        <w:rPr>
          <w:color w:val="000000"/>
        </w:rPr>
        <w:t xml:space="preserve"> — </w:t>
      </w:r>
      <w:r>
        <w:rPr>
          <w:rFonts w:ascii="Times New Roman;serif" w:hAnsi="Times New Roman;serif"/>
          <w:b/>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for the three and six months ended June 30, 2026 and 2025 were calculated as follows:</w:t>
      </w:r>
    </w:p>
    <w:tbl>
      <w:tblPr>
        <w:tblW w:w="10205" w:type="dxa"/>
        <w:jc w:val="left"/>
        <w:tblInd w:w="0" w:type="dxa"/>
        <w:tblLayout w:type="fixed"/>
        <w:tblCellMar>
          <w:top w:w="28" w:type="dxa"/>
          <w:left w:w="28" w:type="dxa"/>
          <w:bottom w:w="28" w:type="dxa"/>
          <w:right w:w="28" w:type="dxa"/>
        </w:tblCellMar>
      </w:tblPr>
      <w:tblGrid>
        <w:gridCol w:w="1740"/>
        <w:gridCol w:w="1511"/>
        <w:gridCol w:w="1520"/>
        <w:gridCol w:w="236"/>
        <w:gridCol w:w="808"/>
        <w:gridCol w:w="122"/>
        <w:gridCol w:w="122"/>
        <w:gridCol w:w="122"/>
        <w:gridCol w:w="122"/>
        <w:gridCol w:w="236"/>
        <w:gridCol w:w="691"/>
        <w:gridCol w:w="122"/>
        <w:gridCol w:w="109"/>
        <w:gridCol w:w="109"/>
        <w:gridCol w:w="109"/>
        <w:gridCol w:w="211"/>
        <w:gridCol w:w="893"/>
        <w:gridCol w:w="109"/>
        <w:gridCol w:w="109"/>
        <w:gridCol w:w="109"/>
        <w:gridCol w:w="109"/>
        <w:gridCol w:w="211"/>
        <w:gridCol w:w="616"/>
        <w:gridCol w:w="159"/>
      </w:tblGrid>
      <w:tr>
        <w:trPr/>
        <w:tc>
          <w:tcPr>
            <w:tcW w:w="174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217,574 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three and six months ended June 30,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 The following table summarizes potential shares of common stock that were excluded from the computation of diluted net income (loss) per share attributable to common stockholders as they were anti-dilutive for the three months ended June 30, 2026 and three and six months ended June 30, 2025:</w:t>
      </w:r>
    </w:p>
    <w:tbl>
      <w:tblPr>
        <w:tblW w:w="5409" w:type="dxa"/>
        <w:jc w:val="left"/>
        <w:tblInd w:w="0" w:type="dxa"/>
        <w:tblLayout w:type="fixed"/>
        <w:tblCellMar>
          <w:top w:w="28" w:type="dxa"/>
          <w:left w:w="28" w:type="dxa"/>
          <w:bottom w:w="28" w:type="dxa"/>
          <w:right w:w="28" w:type="dxa"/>
        </w:tblCellMar>
      </w:tblPr>
      <w:tblGrid>
        <w:gridCol w:w="1136"/>
        <w:gridCol w:w="996"/>
        <w:gridCol w:w="1002"/>
        <w:gridCol w:w="360"/>
        <w:gridCol w:w="361"/>
        <w:gridCol w:w="176"/>
        <w:gridCol w:w="140"/>
        <w:gridCol w:w="140"/>
        <w:gridCol w:w="140"/>
        <w:gridCol w:w="360"/>
        <w:gridCol w:w="361"/>
        <w:gridCol w:w="237"/>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22,038 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during which the Company recorded a net loss, all potentially dilutive securities, including outstanding stock options and restricted stock unit awards, were excluded from the computation of diluted net loss per share as the effect would be to reduce the net loss per share, and thus they are considered “anti-dilutive.” For this period, the weighted average number of shares of common stock outstanding used to calculate both basic and diluted net loss per share of common stock is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17</w:t>
      </w:r>
      <w:r>
        <w:rPr>
          <w:color w:val="000000"/>
        </w:rPr>
        <w:t xml:space="preserve"> — </w:t>
      </w:r>
      <w:r>
        <w:rPr>
          <w:rFonts w:ascii="Times New Roman;serif" w:hAnsi="Times New Roman;serif"/>
          <w:b/>
          <w:color w:val="000000"/>
          <w:sz w:val="20"/>
        </w:rPr>
        <w:t>Subsequent Events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29, 2026, the Company announced its plan to discontinue the Company’s internal discovery programs and close its Discovery Center of Excellence facility in Birmingham, Alabama (the “Birmingham Closure Plan”). In connection with the Birmingham Closure Plan, the Company estimates that it will incur approximately $7,200 in one-time expenses in connection with employee termination benefits and severance. The Company notified all impacted employees in August 2026, and the majority of the impacted employees have planned termination dates in 2026, with certain employees exiting in the first quarter of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successful commercialization of ORLADEYO, an oral, once-daily therapy discovered and developed internally for the prevention of HAE attacks. Our business strategy includes leveraging this established commercial platform to successfully commercialize a pipeline of potential first-in-class or best-in-class oral small-molecule and injectable protein therapeutics targeting a range of rare diseases. In June 2026, we announced that we would discontinue our internal discovery programs and close our Discovery Center of Excellence facility in Birmingham, Alabama. We plan to focus on identifying and advancing high-value opportunities through external innovation, rigorous scientific evaluation, and disciplined capital allocation. By utilizing our existing commercial capabilities and focusing on rare disease markets, we believe that we can most effectively optimize our costs and strategically allocate resources to support long-term, sustainable growth.</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Products and Product Candidates</w:t>
      </w:r>
    </w:p>
    <w:p>
      <w:pPr>
        <w:pStyle w:val="TextBody"/>
        <w:bidi w:val="0"/>
        <w:spacing w:lineRule="auto" w:line="288" w:before="200" w:after="283"/>
        <w:jc w:val="left"/>
        <w:rPr/>
      </w:pPr>
      <w:r>
        <w:rPr>
          <w:rFonts w:ascii="Times New Roman;serif" w:hAnsi="Times New Roman;serif"/>
          <w:b w:val="false"/>
          <w:i/>
          <w:color w:val="000000"/>
          <w:sz w:val="20"/>
        </w:rPr>
        <w:t>ORLADEYO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(berotralstat)</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once-daily therapy discovered and developed by us for the prevention of HAE attacks. A capsule formulation of ORLADEYO is approved in the United States and other global markets for the prevention of HAE attacks in adults and pediatric patients 12 years and older. In addition, in December 2025, the U.S. Food and Drug Administration (“FDA”) approved an oral pellet formulation of once-daily ORLADEYO for prophylactic therapy in pediatric patients with HAE aged 2 to &lt;12 years.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Based on proprietary analyses of HAE prevalence and market research studies with HAE patients, physicians, and payors in the United States and Europe, and over five years of commercialization experience with ORLADEYO, we anticipate that the global commercial market for ORLADEYO has the potential to reach a global peak of $1 billion in annual net ORLADEYO revenues.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Product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II, Item 1A of this report for further discussion of these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from sales of ORLADEYO for the three and six months ended June 30, 2026 is discussed under “Results of Operations” in this MD&amp;A. Revenue from sales of ORLADEYO in future periods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 We monitor and analyze this data on an ongoing basis as we continue to commercialize ORLADEYO and adjust our forecasts accordingly. In addition, on May 6, 2026, we announced that we identified a manufacturing issue that delayed the initial product fulfillment of the oral pellet formulation of ORLADEYO. On June 29, 2026, we announced that the issue was resolved, and the week of August 3, 2026, we began shipping the ORLADEYO oral pellets in the United States to pediatric patients with HAE aged 2 to &lt;12 years.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we completed the previously announced merger (the “Merger”) with Astria Therapeutics, Inc. (“Astria”). Pursuant to the Merger, we acquired Astria’s lead product candidate navenibart, an injectable monoclonal antibody designed to inhibit plasma kallikrein for the prevention of HAE attacks. Navenibart is currently in Phase 3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development, and the FDA has granted Fast Track and Orphan Drug designations to navenibart for the treatment of HAE. The goal for navenibart is to develop an injectable prophylactic therapy with potential best-in-class dosing every 3- or 6-months, which could offer significant improvements over existing injectable options and address key unmet needs in the HAE patient community.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BCX17725 is a potent and selective investigational protein therapeutic KLK5 inhibitor, currently in Phase 1 clinical development, and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lineRule="auto" w:line="288" w:before="200" w:after="283"/>
        <w:jc w:val="left"/>
        <w:rPr/>
      </w:pPr>
      <w:r>
        <w:rPr>
          <w:rFonts w:ascii="Times New Roman;serif" w:hAnsi="Times New Roman;serif"/>
          <w:b w:val="false"/>
          <w:i/>
          <w:color w:val="000000"/>
          <w:sz w:val="20"/>
        </w:rPr>
        <w:t>RAPIVAB</w:t>
      </w:r>
      <w:r>
        <w:rPr>
          <w:rFonts w:ascii="Times New Roman;serif" w:hAnsi="Times New Roman;serif"/>
          <w:b w:val="false"/>
          <w:color w:val="000000"/>
          <w:sz w:val="20"/>
        </w:rPr>
        <w:t>®</w:t>
      </w:r>
      <w:r>
        <w:rPr>
          <w:rFonts w:ascii="Times New Roman;serif" w:hAnsi="Times New Roman;serif"/>
          <w:b w:val="false"/>
          <w:i/>
          <w:color w:val="000000"/>
          <w:sz w:val="20"/>
        </w:rPr>
        <w:t>/RAPIACTA</w:t>
      </w:r>
      <w:r>
        <w:rPr>
          <w:rFonts w:ascii="Times New Roman;serif" w:hAnsi="Times New Roman;serif"/>
          <w:b w:val="false"/>
          <w:color w:val="000000"/>
          <w:sz w:val="20"/>
        </w:rPr>
        <w:t>®</w:t>
      </w:r>
      <w:r>
        <w:rPr>
          <w:rFonts w:ascii="Times New Roman;serif" w:hAnsi="Times New Roman;serif"/>
          <w:b w:val="false"/>
          <w:i/>
          <w:color w:val="000000"/>
          <w:sz w:val="20"/>
        </w:rPr>
        <w:t>/PERAMIFLU</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(peramivir injection)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operating expenses are also difficult to predict and depend primarily on research and development activities, including clinical research activities, and the ongoing requirements of our development programs, as well as the costs of commercialization, drug manufacturing, direction from regulatory agencies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 In addition, in June 2026, we announced the Birmingham Closure Plan (as defined below). While we expect costs associated with the Birmingham Closure Plan to include costs related to contract termination, lease termination, employee termination benefits and severance, among other costs, management’s analysis of the Birmingham Closure Plan’s execution and related impact is still ongoing.</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ORLADEYO (berotralstat)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2026, we presented new real-world evidence underscoring the ongoing burden of pediatric HAE, with studies highlighting the significant healthcare and quality-of-life burden associated with HAE in pediatric patients and their caregivers. In addition, on June 12, 2026, we announced that new clinical data and real-world evidence demonstrated that treatment with ORLADEYO was associated with consistent reductions in HAE attack burden and healthcare utilization across diverse patient populations.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announced on August 5, 2026 that initial product shipments of ORLADEYO oral pellets to pediatric patients began the week of August 3, marking a new paradigm in the treatment of HAE in pediatrics. In addition, to support the growing scale of ORLADEYO across both adults and pediatrics, we have engaged a new commercial pharmacy partner for ORLADEYO to serve as our sole source specialty pharmacy for ORLADEYO shipments to patients in the United States beginning in the third quarter of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2026, we announced that we entered into a licensing agreement granting an Irish affiliate of Neopharmed Gentili S.p.A. (“Neopharmed”) exclusive rights to commercialize navenibart for HAE in Europe (the “Neopharmed License Agreement”). We received upfront consideration of $70.0 million and will be eligible to receive up to $275.0 million in future regulatory and sales milestone payments. We will also receive tiered royalties on net sales ranging from 18% to 30%. Navenibart is an investigational product that has not yet received regulatory approval in the United States or Europe.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6, 2026, we announced that patient enrollment in ALPHA-ORBIT, the ongoing pivotal study of navenibart for the prophylaxis of HAE, was on track to be completed by the end of June 2026. On June 29, 2026, we announced that enrollment was completed in June 2026, putting navenibart on track to potentially be the first HAE therapy to have both 3- and 6-month dosing with efficacy evaluated through 12 months.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12, 2026, we announced that a post-hoc analysis of the Phase 1b/2 multicenter, dose-ranging, open-label ALPHA-STAR study of navenibart demonstrated that investigational navenibart consistently reduced HAE attack rates across patient subgroups, supporting the ongoing Phase 3 evaluation of navenibart as a potential long-acting therapeutic option for the broad HAE population.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6, 2026, we announced that we have begun dosing in Part 4 of the Phase 1 trial of BCX17725 for the treatment of Netherton syndrome, which will enroll up to 12 patients for three months.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Birmingham Closure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25, 2026, our Board of Directors approved a plan to discontinue our internal discovery programs and close the Discovery Center of Excellence facility in Birmingham, Alabama (the “Birmingham Closure Plan”). The Birmingham Closure Plan was approved as part of the ongoing strategic evolution to strengthen our rare disease pipeline, following a comprehensive strategic review and scientific diligence of our research capabilities, programs and priorities. The implementation of the Birmingham Closure Plan is expected to be substantially complete by the end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compared to the three and six months ended June 30,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three months ended June 30, 2026 and 2025:</w:t>
      </w:r>
    </w:p>
    <w:tbl>
      <w:tblPr>
        <w:tblW w:w="5397" w:type="dxa"/>
        <w:jc w:val="left"/>
        <w:tblInd w:w="0" w:type="dxa"/>
        <w:tblLayout w:type="fixed"/>
        <w:tblCellMar>
          <w:top w:w="28" w:type="dxa"/>
          <w:left w:w="28" w:type="dxa"/>
          <w:bottom w:w="28" w:type="dxa"/>
          <w:right w:w="28" w:type="dxa"/>
        </w:tblCellMar>
      </w:tblPr>
      <w:tblGrid>
        <w:gridCol w:w="988"/>
        <w:gridCol w:w="869"/>
        <w:gridCol w:w="872"/>
        <w:gridCol w:w="211"/>
        <w:gridCol w:w="828"/>
        <w:gridCol w:w="109"/>
        <w:gridCol w:w="109"/>
        <w:gridCol w:w="109"/>
        <w:gridCol w:w="109"/>
        <w:gridCol w:w="211"/>
        <w:gridCol w:w="828"/>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$54.9 million increase in total revenues for the three months ended June 30, 2026 compared to the three months ended June 30, 2025 was primarily driven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$53.5 million increase in license and other revenues primarily attributable to the recognition of $55.7 million of revenue related to the Neopharmed License Agreement (see “</w:t>
      </w:r>
      <w:r>
        <w:rPr>
          <w:rFonts w:ascii="Times New Roman;serif" w:hAnsi="Times New Roman;serif"/>
          <w:b w:val="false"/>
          <w:i/>
          <w:color w:val="000000"/>
          <w:sz w:val="20"/>
        </w:rPr>
        <w:t>Note 12—Collaborative and Other Relationships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this agreement), partially offset by a $6.2 million decrease in direct sales of peramivir primarily due to lower direct sales of peramivir to the U.S. Department of Health and Human Services (“HHS”) following the expiration of the initial 12</w:t>
        <w:noBreakHyphen/>
        <w:t>month base ordering period in September 2025, after which no additional ordering periods were exercised;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$14.7 million increase in ORLADEYO revenue, excluding revenues associated with our European ORLADEYO business, primarily due to a net price increase and an increase in volume of direct sales of ORLADEYO due to continued strong market dynamics;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$13.3 million decrease in revenues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six months ended June 30, 2026 and 2025:</w:t>
      </w:r>
    </w:p>
    <w:tbl>
      <w:tblPr>
        <w:tblW w:w="5393" w:type="dxa"/>
        <w:jc w:val="left"/>
        <w:tblInd w:w="0" w:type="dxa"/>
        <w:tblLayout w:type="fixed"/>
        <w:tblCellMar>
          <w:top w:w="28" w:type="dxa"/>
          <w:left w:w="28" w:type="dxa"/>
          <w:bottom w:w="28" w:type="dxa"/>
          <w:right w:w="28" w:type="dxa"/>
        </w:tblCellMar>
      </w:tblPr>
      <w:tblGrid>
        <w:gridCol w:w="988"/>
        <w:gridCol w:w="869"/>
        <w:gridCol w:w="872"/>
        <w:gridCol w:w="211"/>
        <w:gridCol w:w="826"/>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$65.8 million increase in total revenues for the six months ended June 30, 2026 compared to the six months ended June 30, 2025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$50.3 million increase in license and other revenues primarily attributable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$55.7 million increase due to the recognition of revenue related to the Neopharmed License Agreement;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$5.9 million increase due to revenue related to quarterly royalty payments from BioCryst Ireland Limited;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$2.5 million increase due to the recognition of revenue related to the Kaken License Agreement (see “</w:t>
      </w:r>
      <w:r>
        <w:rPr>
          <w:rFonts w:ascii="Times New Roman;serif" w:hAnsi="Times New Roman;serif"/>
          <w:b w:val="false"/>
          <w:i/>
          <w:color w:val="000000"/>
          <w:sz w:val="20"/>
        </w:rPr>
        <w:t>Note 12—Collaborative and Other Relationships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this agreement);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$13.2 million decrease in direct sales of peramivir primarily due to lower direct sales of peramivir to the HHS following the expiration of the initial 12</w:t>
        <w:noBreakHyphen/>
        <w:t>month base ordering period in September 2025, after which no additional ordering periods were exercised.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$40.3 million increase in ORLADEYO revenue, excluding revenues associated with our European ORLADEYO business, primarily due to a net price increase and an increase in direct sales of ORLADEYO due to continued strong market dynamics; partially offset by:</w:t>
      </w:r>
    </w:p>
    <w:p>
      <w:pPr>
        <w:pStyle w:val="TextBody"/>
        <w:bidi w:val="0"/>
        <w:spacing w:lineRule="auto" w:line="288" w:before="200" w:after="283"/>
        <w:ind w:left="0" w:right="0" w:hanging="360"/>
        <w:jc w:val="left"/>
        <w:rPr/>
      </w:pPr>
      <w:r>
        <w:rPr>
          <w:color w:val="000000"/>
        </w:rPr>
        <w:t xml:space="preserve">• </w:t>
      </w:r>
      <w:r>
        <w:rPr>
          <w:rFonts w:ascii="Times New Roman;serif" w:hAnsi="Times New Roman;serif"/>
          <w:b w:val="false"/>
          <w:color w:val="000000"/>
          <w:sz w:val="20"/>
        </w:rPr>
        <w:t>$24.8 million decrease in revenues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cost of product sales for the three and six months ended June 30, 2026 and 2025:</w:t>
      </w:r>
    </w:p>
    <w:tbl>
      <w:tblPr>
        <w:tblW w:w="5682" w:type="dxa"/>
        <w:jc w:val="left"/>
        <w:tblInd w:w="0" w:type="dxa"/>
        <w:tblLayout w:type="fixed"/>
        <w:tblCellMar>
          <w:top w:w="28" w:type="dxa"/>
          <w:left w:w="28" w:type="dxa"/>
          <w:bottom w:w="28" w:type="dxa"/>
          <w:right w:w="28" w:type="dxa"/>
        </w:tblCellMar>
      </w:tblPr>
      <w:tblGrid>
        <w:gridCol w:w="1092"/>
        <w:gridCol w:w="959"/>
        <w:gridCol w:w="964"/>
        <w:gridCol w:w="251"/>
        <w:gridCol w:w="733"/>
        <w:gridCol w:w="129"/>
        <w:gridCol w:w="129"/>
        <w:gridCol w:w="129"/>
        <w:gridCol w:w="129"/>
        <w:gridCol w:w="251"/>
        <w:gridCol w:w="733"/>
        <w:gridCol w:w="183"/>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ORLADEYO</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peramivir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 sales</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43" w:type="dxa"/>
        <w:jc w:val="left"/>
        <w:tblInd w:w="0" w:type="dxa"/>
        <w:tblLayout w:type="fixed"/>
        <w:tblCellMar>
          <w:top w:w="28" w:type="dxa"/>
          <w:left w:w="28" w:type="dxa"/>
          <w:bottom w:w="28" w:type="dxa"/>
          <w:right w:w="28" w:type="dxa"/>
        </w:tblCellMar>
      </w:tblPr>
      <w:tblGrid>
        <w:gridCol w:w="1092"/>
        <w:gridCol w:w="959"/>
        <w:gridCol w:w="964"/>
        <w:gridCol w:w="228"/>
        <w:gridCol w:w="667"/>
        <w:gridCol w:w="118"/>
        <w:gridCol w:w="118"/>
        <w:gridCol w:w="118"/>
        <w:gridCol w:w="118"/>
        <w:gridCol w:w="228"/>
        <w:gridCol w:w="667"/>
        <w:gridCol w:w="166"/>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ORLADEYO</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 peramivir</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 sales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cost of product sales for the three and six months ended June 30, 2026 compared to three and six months ended June 30, 2025 was primarily due to an increase in ORLADEYO sales to our partners, partially offset by a decrease in cost of product sales associated with our European ORLADEYO business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expense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Acquired in-process research and development expense was $697.8 million for the six months ended June 30, 2026 related to the non-cash charge recognized for the value assigned to the navenibart in-process research and development asset acquired as part of the Merger.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costs incurred to discover, develop and advance our product candidates and related technologies. These costs include direct costs, such as compensation for research and development personnel and costs paid to third-parties for laboratory studies, process development and manufacturing of product candidates, and the conduct and management of clinical trials and other clinical and preclinical activities. Additionally, direct expenses include those costs necessary to discontinue and close out a development program, including termination fees and other commitments. Research and development expenses also include indirect costs, such as lab supplies and services, facility costs, depreciation of lab equipment and other overhead of our research and development activities. Research and development expenses vary based on the number of programs in development and the stage of development of each program. Later stage clinical programs generally require higher spending than earlier stage programs due to the longer length of time of the clinical trials and the higher patient enrollment.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or evaluate internal research and development costs on a program-by-program basis, and certain costs may benefit multiple programs. Beginning in the quarter ended September 30, 2025, we no longer allocate non-program specific external costs or internal costs to programs. These costs are separately presented on the respective line items listed below. Research and development expenses have been reclassified for the three and six months ended June 30, 2025 for comparability. There is no impact on total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for the three months ended June 30, 2026 and 2025: </w:t>
      </w:r>
    </w:p>
    <w:tbl>
      <w:tblPr>
        <w:tblW w:w="8575" w:type="dxa"/>
        <w:jc w:val="left"/>
        <w:tblInd w:w="0" w:type="dxa"/>
        <w:tblLayout w:type="fixed"/>
        <w:tblCellMar>
          <w:top w:w="28" w:type="dxa"/>
          <w:left w:w="28" w:type="dxa"/>
          <w:bottom w:w="28" w:type="dxa"/>
          <w:right w:w="28" w:type="dxa"/>
        </w:tblCellMar>
      </w:tblPr>
      <w:tblGrid>
        <w:gridCol w:w="2133"/>
        <w:gridCol w:w="1875"/>
        <w:gridCol w:w="1902"/>
        <w:gridCol w:w="229"/>
        <w:gridCol w:w="784"/>
        <w:gridCol w:w="118"/>
        <w:gridCol w:w="118"/>
        <w:gridCol w:w="118"/>
        <w:gridCol w:w="118"/>
        <w:gridCol w:w="229"/>
        <w:gridCol w:w="784"/>
        <w:gridCol w:w="167"/>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June 30, 2026 compared to three months ended June 30, 2025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$17.3 million increase in navenibart due to the acquisition of the Phase 3 product candidate in connection with the Merger;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$1.9 million increase in BCX17725 primarily due to an increase in drug manufacturing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$3.9 million decrease in stock-based compensation expense primarily due to research and development related turnover and prior period acceleration of expense pursuant to the BioCryst Pharmaceuticals, Inc. Equity Award Retirement Policy, partially offset by a modification to extend the post-termination exercise period of certain vested stock option awards at the time of retirement for certain individuals to the original expiration date, resulting in $2.4 million of incremental expense in the second quarter of 2026 (see “</w:t>
      </w:r>
      <w:r>
        <w:rPr>
          <w:rFonts w:ascii="Times New Roman;serif" w:hAnsi="Times New Roman;serif"/>
          <w:b w:val="false"/>
          <w:i/>
          <w:color w:val="000000"/>
          <w:sz w:val="20"/>
        </w:rPr>
        <w:t>Note 11—Stock-Based Compensation</w:t>
      </w:r>
      <w:r>
        <w:rPr>
          <w:color w:val="000000"/>
        </w:rPr>
        <w:t xml:space="preserve">” </w:t>
      </w:r>
      <w:r>
        <w:rPr>
          <w:rFonts w:ascii="Times New Roman;serif" w:hAnsi="Times New Roman;serif"/>
          <w:b w:val="false"/>
          <w:color w:val="000000"/>
          <w:sz w:val="20"/>
        </w:rPr>
        <w:t xml:space="preserve">in the Notes to the Condensed Consolidated Financial Statements in Part I, Item 1 of this report);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$3.0 million decrease in avoralstat due to the discontinuation of the program in the first quarter of 2026;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$2.2 million decrease in berotralstat primarily attributed to a decrease in manufacturing and other costs incurred to support FDA approval in pediatric patients in 2025;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$1.3 million decrease in research and development expenses associated with our European ORLADEYO business (excluding stock-based compensation) due to the sale of our European ORLADEYO business to Neopharmed on October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for the six months ended June 30, 2026 and 2025: </w:t>
      </w:r>
    </w:p>
    <w:tbl>
      <w:tblPr>
        <w:tblW w:w="8469" w:type="dxa"/>
        <w:jc w:val="left"/>
        <w:tblInd w:w="0" w:type="dxa"/>
        <w:tblLayout w:type="fixed"/>
        <w:tblCellMar>
          <w:top w:w="28" w:type="dxa"/>
          <w:left w:w="28" w:type="dxa"/>
          <w:bottom w:w="28" w:type="dxa"/>
          <w:right w:w="28" w:type="dxa"/>
        </w:tblCellMar>
      </w:tblPr>
      <w:tblGrid>
        <w:gridCol w:w="2133"/>
        <w:gridCol w:w="1875"/>
        <w:gridCol w:w="1902"/>
        <w:gridCol w:w="211"/>
        <w:gridCol w:w="826"/>
        <w:gridCol w:w="109"/>
        <w:gridCol w:w="109"/>
        <w:gridCol w:w="109"/>
        <w:gridCol w:w="109"/>
        <w:gridCol w:w="211"/>
        <w:gridCol w:w="721"/>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Navenibart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six months ended June 30, 2026 compared to the six months ended June 30, 2025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$27.1 million increase in navenibart and $0.8 million increase in STAR-0310 due to the acquisition of the Phase 3 and Phase 1a product candidates, respectively, in connection with the Merger;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$14.2 million increase in compensation and related personnel costs primarily due to expenses incurred in connection with the Merger, including the portion of the Astria stock option payout attributable to post-combination service, totaling $10.7 million, and $4.0 million of Astria related severance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$5.6 million decrease in stock-based compensation expense primarily due to research and development related turnover and prior period acceleration of expense pursuant to the BioCryst Pharmaceuticals, Inc. Equity Award Retirement Policy, partially offset by a modification to extend the post-termination exercise period of certain vested stock option awards at the time of retirement for certain individuals to the original expiration date, resulting in $5.4 million of incremental expense in 2026;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$4.5 million decrease in avoralstat due to the discontinuation of the program in the first quarter of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$2.3 million decrease in berotralstat primarily attributed to a decrease in manufacturing and other costs to support FDA approval in pediatric patients in 2025;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$1.4 million decrease in research and development expenses associated with our European ORLADEYO business (excluding stock-based compensation) due to the sale of our European ORLADEYO business to Neopharmed on October 1, 2025.</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represent costs incurred to commercialize our products and support our operations. Sales and marketing expenses include personnel-related costs, activities supporting the commercialization and distribution of marketed products, market research, marketing, medical affairs, market access, and advertising costs. General and administrative expenses include personnel-related costs and other expenses associated with quality,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human resources, information technology, legal, compliance, and other administrative functions, including transaction-related costs.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three months ended June 30, 2026 and 2025:</w:t>
      </w:r>
    </w:p>
    <w:tbl>
      <w:tblPr>
        <w:tblW w:w="8574" w:type="dxa"/>
        <w:jc w:val="left"/>
        <w:tblInd w:w="0" w:type="dxa"/>
        <w:tblLayout w:type="fixed"/>
        <w:tblCellMar>
          <w:top w:w="28" w:type="dxa"/>
          <w:left w:w="28" w:type="dxa"/>
          <w:bottom w:w="28" w:type="dxa"/>
          <w:right w:w="28" w:type="dxa"/>
        </w:tblCellMar>
      </w:tblPr>
      <w:tblGrid>
        <w:gridCol w:w="2141"/>
        <w:gridCol w:w="1879"/>
        <w:gridCol w:w="1889"/>
        <w:gridCol w:w="229"/>
        <w:gridCol w:w="784"/>
        <w:gridCol w:w="118"/>
        <w:gridCol w:w="118"/>
        <w:gridCol w:w="118"/>
        <w:gridCol w:w="118"/>
        <w:gridCol w:w="229"/>
        <w:gridCol w:w="784"/>
        <w:gridCol w:w="167"/>
      </w:tblGrid>
      <w:tr>
        <w:trP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87,383 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(excluding stock-based compensation) for the three months ended June 30, 2026 compared to the three months ended June 30, 2025 was primarily driven by $5.9 million of transaction-related costs incurred in 2025 associated with the sale of our European ORLADEYO business to Neopharmed on October 1, 2025, partially offset by a $2.4 million increase in employee, facility, and other costs associated with Astria.</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were $14.9 million for the three months ended June 30, 2025. There were no corresponding expenses for the three months ended June 30, 2026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stock-based compensation expense for the three months ended June 30, 2026 compared to the three months ended June 30, 2025 was primarily attributed to employee turnover and prior period acceleration of expense pursuant to the BioCryst Pharmaceuticals, Inc. Equity Award Retirement Policy, partially offset by an increase in awards granted.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six months ended June 30, 2026 and 2025:</w:t>
      </w:r>
    </w:p>
    <w:tbl>
      <w:tblPr>
        <w:tblW w:w="8573" w:type="dxa"/>
        <w:jc w:val="left"/>
        <w:tblInd w:w="0" w:type="dxa"/>
        <w:tblLayout w:type="fixed"/>
        <w:tblCellMar>
          <w:top w:w="28" w:type="dxa"/>
          <w:left w:w="28" w:type="dxa"/>
          <w:bottom w:w="28" w:type="dxa"/>
          <w:right w:w="28" w:type="dxa"/>
        </w:tblCellMar>
      </w:tblPr>
      <w:tblGrid>
        <w:gridCol w:w="2141"/>
        <w:gridCol w:w="1879"/>
        <w:gridCol w:w="1889"/>
        <w:gridCol w:w="211"/>
        <w:gridCol w:w="826"/>
        <w:gridCol w:w="109"/>
        <w:gridCol w:w="109"/>
        <w:gridCol w:w="109"/>
        <w:gridCol w:w="109"/>
        <w:gridCol w:w="211"/>
        <w:gridCol w:w="826"/>
        <w:gridCol w:w="154"/>
      </w:tblGrid>
      <w:tr>
        <w:trP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(excluding stock-based compensation) for the six months ended June 30, 2026 compared to the six months ended June 30, 2025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$3.7 million of expense associated with the portion of the Astria stock option payout attributable to post-combination service in connection with the Merger;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$1.7 million of expense associated with Astria related severance costs in connection with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(excluding stock-based compensation) for the six months ended June 30, 2026 compared to the six months ended June 30, 2025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$14.7 million of expense associated with the portion of the Astria stock option payout attributable to post-combination service in connection with the Merger;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$6.3 million of expense associated with Astria related severance costs in connection with the Merger;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$4.9 million increase due to incremental employee, facility, and other costs associated with Astria.</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$6.4 million of transaction-related costs incurred in 2025 associated with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were $26.5 million for the six months ended June 30, 2025. There were no corresponding expenses for the six months ended June 30, 2026 due to the sale of our European ORLADEYO business to Neopharmed on October 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stock-based compensation expense for the six months ended June 30, 2026 compared to the six months ended June 30, 2025 was primarily attributed to employee turnover and prior period acceleration of expense pursuant to the BioCryst Pharmaceuticals, Inc. Equity Award Retirement Policy, partially offset by an increase in awards granted.</w:t>
      </w:r>
    </w:p>
    <w:p>
      <w:pPr>
        <w:pStyle w:val="TextBody"/>
        <w:bidi w:val="0"/>
        <w:spacing w:lineRule="auto" w:line="288" w:before="20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other income (expense) for the three and six months ended June 30, 2026 and 2025, respectively: </w:t>
      </w:r>
    </w:p>
    <w:tbl>
      <w:tblPr>
        <w:tblW w:w="5635" w:type="dxa"/>
        <w:jc w:val="left"/>
        <w:tblInd w:w="0" w:type="dxa"/>
        <w:tblLayout w:type="fixed"/>
        <w:tblCellMar>
          <w:top w:w="28" w:type="dxa"/>
          <w:left w:w="28" w:type="dxa"/>
          <w:bottom w:w="28" w:type="dxa"/>
          <w:right w:w="28" w:type="dxa"/>
        </w:tblCellMar>
      </w:tblPr>
      <w:tblGrid>
        <w:gridCol w:w="1076"/>
        <w:gridCol w:w="943"/>
        <w:gridCol w:w="951"/>
        <w:gridCol w:w="216"/>
        <w:gridCol w:w="816"/>
        <w:gridCol w:w="111"/>
        <w:gridCol w:w="111"/>
        <w:gridCol w:w="111"/>
        <w:gridCol w:w="111"/>
        <w:gridCol w:w="216"/>
        <w:gridCol w:w="816"/>
        <w:gridCol w:w="157"/>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88" w:type="dxa"/>
        <w:jc w:val="left"/>
        <w:tblInd w:w="0" w:type="dxa"/>
        <w:tblLayout w:type="fixed"/>
        <w:tblCellMar>
          <w:top w:w="28" w:type="dxa"/>
          <w:left w:w="28" w:type="dxa"/>
          <w:bottom w:w="28" w:type="dxa"/>
          <w:right w:w="28" w:type="dxa"/>
        </w:tblCellMar>
      </w:tblPr>
      <w:tblGrid>
        <w:gridCol w:w="973"/>
        <w:gridCol w:w="852"/>
        <w:gridCol w:w="859"/>
        <w:gridCol w:w="211"/>
        <w:gridCol w:w="796"/>
        <w:gridCol w:w="109"/>
        <w:gridCol w:w="109"/>
        <w:gridCol w:w="109"/>
        <w:gridCol w:w="109"/>
        <w:gridCol w:w="211"/>
        <w:gridCol w:w="79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(43,769)</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Interest expense was primarily comprised of non-cash interest expense due to the amortization of interest associated with our royalty financing obligations and interest expense associated with the borrowings under the Blackstone Loan Agreement (as defined below) for the three and six months ended June 30, 2026 and Pharmakon Loan Agreement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the three and six months ended June 30, 2025. The decrease in interest expense for the six months ended June 30, 2026 was primarily due to a lower effective interest rate under the Blackstone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we made a $75.0 million partial prepayment on the outstanding principal amount under the Pharmakon term loan resulting in a one-time loss on extinguishment of debt of $4.2 million for the three and six months ended June 30, 2025. We paid off the remainder of the outstanding principal balance of $248.7 million as of June 30, 2025 in two separate prepayments in the third and fourth quarters of 2025.</w:t>
      </w:r>
    </w:p>
    <w:p>
      <w:pPr>
        <w:pStyle w:val="TextBody"/>
        <w:bidi w:val="0"/>
        <w:spacing w:before="2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consisted of cash, cash equivalents and available-for-sale investments totaling $352.6 million, cash generated from ORLADEYO sales, available borrowings under the Blackstone Loan Agreement (as defined below), proceeds from licensing and collaborative agreements, and royalty financing arrangements. In addition to the above, we have previously received funding from other sources, including public offerings and private placements of equity securities, cash from research and development agreements, including U.S. Government contracts, government grants, research grants, and interest income on our investments.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January 23, 2026, we entered into</w:t>
      </w:r>
      <w:r>
        <w:rPr>
          <w:color w:val="000000"/>
          <w:shd w:fill="FFFFFF" w:val="clear"/>
        </w:rPr>
        <w:t xml:space="preserve"> </w:t>
      </w:r>
      <w:r>
        <w:rPr>
          <w:rFonts w:ascii="Times New Roman;serif" w:hAnsi="Times New Roman;serif"/>
          <w:b w:val="false"/>
          <w:color w:val="000000"/>
          <w:sz w:val="20"/>
          <w:shd w:fill="FFFFFF" w:val="clear"/>
        </w:rPr>
        <w:t xml:space="preserve">a Loan Agreement (the “Blackstone Loan Agreement”) with </w:t>
      </w:r>
      <w:r>
        <w:rPr>
          <w:rFonts w:ascii="Times New Roman;serif" w:hAnsi="Times New Roman;serif"/>
          <w:b w:val="false"/>
          <w:color w:val="000000"/>
          <w:sz w:val="20"/>
        </w:rPr>
        <w:t xml:space="preserve">Blackstone Alternative Credit Advisors LP and Blackstone Life Sciences Advisors L.L.C., (together, “Blackstone”), as the Blackstone representatives thereunder, the guarantors from time to time party thereto, the lenders from time to time party thereto, and Wilmington Trust, National Association, as agent, pursuant to which the lenders funded term loans in the aggregate principal amount of $400.0 million (the “Term Loans”). We used the proceeds from the Term Loans to pay the cash portion of the consideration required to consummate the Merger. The maturity date of the Term Loans under the Blackstone Loan Agreement is January 23, 2031. Subject to the mutual agreement between us, Blackstone and the lenders, we may request additional term loans up to an aggregate principal amount not exceeding $150.0 million. Our obligations under the Blackstone Loan Agreement are secured by a security interest in, subject to certain exceptions, substantially all of our and our subsidiaries’ assets.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Blackstone Loan Agreement also contains representations and warranties and affirmative and negative covenants customary for financings of this type (including a minimum liquidity covenant), as well as customary events of default. Certain of the customary negative covenants limit our ability and certain of our subsidiaries to, among other things, dispose of assets, engage in mergers, acquisitions and similar transactions, incur additional indebtedness, grant liens, make investments, pay dividends or make distributions or certain other restricted payments in respect of equity, prepay certain other indebtedness, enter into restrictive agreements, undertake fundamental changes or amend certain material contracts, among other customary covenants, in each case subject to certain exceptions. A failure to comply with the covenants in the Blackstone Loan Agreement, or an occurrence of any other event of default, could permit the lenders under the Blackstone Loan Agreement to declare the borrowings thereunder, together with accrued interest and fees, and any applicable yield protection premium, to be immediately due and payable.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 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w:t>
      </w:r>
      <w:r>
        <w:rPr>
          <w:rFonts w:ascii="Times New Roman;serif" w:hAnsi="Times New Roman;serif"/>
          <w:b w:val="false"/>
          <w:color w:val="000000"/>
          <w:sz w:val="20"/>
          <w:shd w:fill="FFFFFF" w:val="clear"/>
        </w:rPr>
        <w:t xml:space="preserve">s and certain key European markets (collectively, the “Key </w:t>
      </w:r>
      <w:r>
        <w:rPr>
          <w:rFonts w:ascii="Times New Roman;serif" w:hAnsi="Times New Roman;serif"/>
          <w:b w:val="false"/>
          <w:color w:val="000000"/>
          <w:sz w:val="20"/>
        </w:rPr>
        <w:t>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No royalty payments are due on direct sales over $550.0 million. See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about these financing transactions.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w:t>
      </w:r>
    </w:p>
    <w:tbl>
      <w:tblPr>
        <w:tblW w:w="10205" w:type="dxa"/>
        <w:jc w:val="left"/>
        <w:tblInd w:w="0" w:type="dxa"/>
        <w:tblLayout w:type="fixed"/>
        <w:tblCellMar>
          <w:top w:w="28" w:type="dxa"/>
          <w:left w:w="28" w:type="dxa"/>
          <w:bottom w:w="28" w:type="dxa"/>
          <w:right w:w="28" w:type="dxa"/>
        </w:tblCellMar>
      </w:tblPr>
      <w:tblGrid>
        <w:gridCol w:w="2865"/>
        <w:gridCol w:w="2493"/>
        <w:gridCol w:w="2504"/>
        <w:gridCol w:w="196"/>
        <w:gridCol w:w="646"/>
        <w:gridCol w:w="109"/>
        <w:gridCol w:w="109"/>
        <w:gridCol w:w="109"/>
        <w:gridCol w:w="109"/>
        <w:gridCol w:w="196"/>
        <w:gridCol w:w="713"/>
        <w:gridCol w:w="156"/>
      </w:tblGrid>
      <w:tr>
        <w:trPr/>
        <w:tc>
          <w:tcPr>
            <w:tcW w:w="2865"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 including cash classified within current assets held for sale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increase in cash and cash equivalents classified within current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(16,398)</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incurred a net loss of $643.4 million, which was primarily driven by the non-cash acquired in-process research and development charge of $697.8 million related to the Merger. After adjusting for this, other non-cash cash items totaling $62.7 million, and operating assets and liabilities used of $74.5 million, net cash provided by operating activities totaled $42.6 million.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generated net income of $5.1 million. After adjusting for non-cash items totaling $68.4 million, and operating assets and liabilities used of $59.8 million, net cash provided by operating activities totaled $13.8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of $378.8 million primarily related to cash paid for the acquisition of Astria, net of cash acquired, of $489.5 million and $135.6 million of purchases of investment securities, partially offset by $246.9 million of sales and maturities of investment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investing activities of $56.2 million primarily related to sales and maturities of investment securities of $134.6 million, partially offset by purchases of investment securities of $78.1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of $401.4 million primarily consisted of net proceeds from the Term Loans under the Blackstone Loan Agreement of $395.0 million and common stock issued under stock-based compensation plans of $25.7 million, partially offset by principal payments on royalty financing obligations of $13.8 million and withholding taxes paid on stock-based awards of $4.9 million.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financing activities of $73.2 million primarily consisted of repayment of Pharmakon term loan principal and related prepayment premium and fees totaling $71.8 million and principal payments on royalty financing obligations of $4.0 million, partially offset by net proceeds from common stock issued under stock-based compensation plans of $5.8 million.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contain costs and cash flow requirements by closely managing our third-party costs and headcount, leasing our facilities, and contracting with other parties to conduct certain research and development projects. We may incur additional expenses, potentially resulting in significant losses, as we continue to pursue our research and development activities, commercialize ORLADEYO, and engage in strategic business development.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We invest in marketable debt securities that may consist of U.S. Treasury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obligations, U.S. government agency securities, money market funds, certificates of deposit, and corporate notes and bonds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expenses, revenues and cash utilization rate could vary significantly depending on many factors, some of which will consume significant capital resources,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progress and results of our current and proposed clinical trials for our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made in the development, manufacturing, and regulatory approval process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success of our commercialization efforts for, and market acceptance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development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amount of funding or assistance, if any, we receive from new partnerships with third parties for the development and/or commercialization of our products and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development progress of any collaborative agreements for our product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amount and timing of funding we receive, if any, from U.S. Government contracts.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expectations for revenue and operating expenses, we believe our financial resources will be sufficient to fund our operations for at least the next 12 months. Our liquidity needs will be largely determined by the success of operations in regard to the successful commercialization of our products and the future progression of our product candidates. In addition to financing our needs through our existing capital resources and interest earned on that capital, as well as revenues from product sales, we periodically evaluate other opportunities to fund future operations, including: (1) out-licensing rights to certain of our products or product candidates, pursuant to which we would receive cash milestone payments; (2) obtaining additional product candidate regulatory approvals, which would generate revenue, milestone payments and cash flow; (3) reducing spending on one or more research and development programs, including by discontinuing development; (4) restructuring operations to change our overhead structure; (5) securing U.S. Government funding of our programs, including obtaining procurement contracts; and/or (6) pursuing royalty or loan financing. We may also,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success of our business development efforts; the timing, scope, and magnitude of our research and development and commercial expenses; and key regulatory and operational developments.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magnitude of our research and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our external innovation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additional collaborative relationships if and when needed;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decision to build or expand our commercial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and results of preclinical studies and clinical trials to develop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drug substance and product candidates required for future new drug application filings;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post-approval commitments for any products that receive regulatory approval;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development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 xml:space="preserve">in Part II, Item 1A of this report for further discussion of the risks related to obtaining additional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accordance with U.S. GAAP requires us to make estimates and judgments that affect the reported amounts of assets, liabilities, revenues, expenses, and related disclosures for the periods presented. Some of these estimates can be subjective and complex with a significant level of estimation uncertainty, and, consequently, actual results may differ from these estimates. The judgments and assumptions used by management are based 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believe the following accounting policies to be most critical to the judgments and estimates used in the preparation of our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application of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substantially impacts our reported results, particularly product sales, net, which requires certain estimates in determining the transaction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subjective of these estimates are government and managed care rebates. We contract with group purchasing organizations associated with managed care organizations and participate in certain government programs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contractually mandated discounts applicable to the programs, and (iii) product distribution information obtained from our specialty pharmacy regarding payor mix.</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research and development expenses based on the review of contracts and purchase orders, discussions with internal personnel to identify services that have been performed on our behalf, discussions with service providers, and assumptions regarding actual work completed and the associated costs incurred when we have not yet been invoiced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otherwise notified of actual cost. We consider facts and circumstances known to us at the time, which may include assumptions regarding expected patient enrollment, site activation and estimated project duration. In expensing service fees, we estimate the time period over which services will be performed and the level of effort expended in each period. Examples of estimated accrued research and development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may result in uneven payment flows, as payments may depend on factors such as the successful enrollment of patients and the completion of milestones. We accrue for expenses when we determine an obligation has been incurred, regardless of the timing of the invoice. We periodically confirm the accuracy of our estimates with the service providers and adjust if necessary. If we do not identify costs that we have begun to incur or if we underestimate or overestimate the level of these costs, our actual expenses could differ from our estimates.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royalty financing obligations, RPI and OMERS are entitled to receive sales-based royalties on net product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agreements. We impute interest on the carrying values of each of the royalty financing obligations and record interest expense using an imputed effective interest rate. We reassess the expected royalty payments each reporting period and account for any changes through adjustments to the effective interest rates on a prospective basis. The assumptions used in determining the expected repayment terms of the debt and amortization periods of the issuance costs requires that we make estimates that could impact the carrying value of each of the liabilities, as well as the periods over which associated issuance costs will be amortized. Significant changes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Asset Acquisitions and Acquired In-Process Research and Development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Accounting for asset acquisitions requires significant judgment, including the application of the screen test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and the valuation of acquired in</w:t>
        <w:noBreakHyphen/>
        <w:t>process research and development (“IPR&amp;D”). Determining whether substantially all of the fair value of the gross assets acquired is concentrated in a single identifiable asset requires estimates of relative fair values. During 2026, we acquired significant IPR&amp;D related to the navenibart development program in connection with the Merger. The determination of the fair value of acquired IPR&amp;D represents a critical accounting estimate because it requires significant management judgment and the use of unobservable inputs. Key assumptions include development timelines, probabilities of technical and regulatory success, expected future revenues, market conditions, and discount rates. In certain circumstances, we may conclude that an acquired IPR&amp;D asset has no measurable fair value at the acquisition date based on market participant considerations. Changes in these assumptions or judgments could materially affect our accounting conclusions and amounts recognized in our condensed consolidated financial statements. See “</w:t>
      </w:r>
      <w:r>
        <w:rPr>
          <w:rFonts w:ascii="Times New Roman;serif" w:hAnsi="Times New Roman;serif"/>
          <w:b w:val="false"/>
          <w:i/>
          <w:color w:val="000000"/>
          <w:sz w:val="20"/>
        </w:rPr>
        <w:t>Note 2—Acquisition of Astria Therapeutics, Inc.</w:t>
      </w:r>
      <w:r>
        <w:rPr>
          <w:color w:val="000000"/>
        </w:rPr>
        <w:t xml:space="preserve">” </w:t>
      </w:r>
      <w:r>
        <w:rPr>
          <w:rFonts w:ascii="Times New Roman;serif" w:hAnsi="Times New Roman;serif"/>
          <w:b w:val="false"/>
          <w:color w:val="000000"/>
          <w:sz w:val="20"/>
        </w:rPr>
        <w:t>in the Notes to the Condensed Consolidated Financial Statements in Part I, Item 1 of this report for additional information on the Merger.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our accounting for income taxes. Significant management judgment is required in determining any valuation allowance recorded against net deferred tax assets and uncertain tax positions.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540"/>
        <w:jc w:val="left"/>
        <w:rPr/>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interest rate risk on our investment portfolio and borrowings under our Blackstone Loan Agreement. The Term Loans under the Blackstone Loan Agreement accrue interest each quarter at a rate equal to the three-month Secured Overnight Financing Rate (“SOFR”), which shall be no less than 1.75%, plus 4.50% per annum, plus 0.50% per annum for each quarterly interest period in which a Blackstone PIK Interest Payment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is made. Accordingly, increases in interest rates will increase the associated interest payments that we are required to make on the Term Loans. For the three months ended June 30, 2026, interest was accrued at an effective rate of 8.50% on the Term Loans under the Blackstone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revenues and expenses are denominated in U.S. dollars. Our royalties from Torii are in Japanese Yen. We also had other transactions denominated in foreign currencies during the six months ended June 30, 2026, including contract manufacturing and ex-U.S. clinical trial activities, and we expect to continue to do so. Our limited foreign currency exposure relative to our operations is primarily to fluctuations in the Japanese Yen, Canadian Dollar, and Euro. We do not anticipate that foreign currency transaction gains or losses will be significant at our current level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generally impacts us by potentially increasing our operating expenses, including cost of product sales, clinical trial costs and selling activities. We do not believe that inflation has had a material impact on our business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2026,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January 2025, we received a Paragraph IV notice of certification (the “First Notice Letter”) from Annora Pharma Private Limited (“Annora”) regarding U.S. Patent Nos. 10,662,160; 11,117,867; and 11,618,733. In January 2026, we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May 2040,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we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We are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we intend to vigorously defend our intellectual property rights protecting ORLADEYO, this matter is in the early stages of litigation and no assessment can be made as to the likely outcome of this matter or whether it will be material to us. Accordingly, an estimate of the potential loss, or range of loss, if any, to us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us.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Although we achieved net income on a U.S. GAAP basis for the year ended December 31, 2025 for the first time on an annual basis, we have not yet achieved sustained profitability. Our expectations as to the sustainability of our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or acquire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the Condensed Consolidated Financial Statements in Part I, Item 1 of this report), may reduce the profitability of such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developing or acquiring product candidates, launching new products, and their potential for commercialization, we are unable to predict the extent of any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losses. Even though we have achieved profitability in a given reporting period, we may not be able to sustain or increase profitability on a quarterly or annual basis. For example, as a result of the accounting treatment for the Merger, we recorded a net loss on a U.S. GAAP basis for the quarter ended March 31, 2026, due to a special, non-cash charge related to the acquired in-process research and development asset for navenibart. If we are unable to achieve sustained profitability on our anticipated timeline, or at all, the market value of our common stock will likely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or obtain additional financing in the future. If we are unable to raise capital or obtain additional financing if and when needed, we may need to adjust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sustained operating losses for the majority of our corporate history. Even if we achieve sustained profitability, in order to continue future operations, progress any development programs, engage in strategic business development activities and commercialize our products and product candidates, we may be required to raise additional capital or obtain additional financing in the future. In addition to seeking strategic partnerships and transactions, we may access the equity or debt markets, incur additional borrowings, or seek other sources of funding to meet liquidity needs at any time, including to take advantage of attractive opportunities in the capital markets. Additional funding, whether through additional sales or issuances of securities, additional borrowings,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Blackstone Loan Agreement. In addition, collaborative arrangements may require us to transfer certain material rights to our corporate partners. Insufficient funds or lack of an acceptable partnership have in the past, and may again in the future, require us to delay, scale-back or eliminate certain of our research and development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programs advance, our costs could increase.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our future business development activities;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including the progress, timeline and ultimate outcome of our development programs (including, but not limited to, formulation progress, long-term human safety studies, clinical trial investigations, and carcinogenicity, drug-drug interaction, toxicity, or other required studies), as well as any post-approval studies for our products, and our ability to execute our budget plans.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Relating to the Merger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anticipated benefits and synergies of the Merger may not be realized, and risks associated with Astria’s business or product candidates could adversely affect our business, financial results and the market price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the Merger depends, in part, on our ability to integrate Astria into our business and realize the anticipated benefits, cost savings and synergies of the transaction. While we have generally completed the integration of Astria with our business, those benefits may not be realized fully or at all, may take longer to realize than expected, or may not offset transaction and integration expenses over time. An inability to realize the full extent of the anticipated benefits of the Merger could have an adverse effect on our revenues and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conducted due diligence on Astria before completing the Merger, we may not yet be aware of all material risks, liabilities or challenges associated with Astria’s business or product candidates (in particular, navenibart). Unexpected risks may arise, and previously known risks may materialize in a manner that differs from our preliminary risk assessments or assumptions. Any failure to realize the expected benefits of the Merger, any adverse effects from risks related to Astria’s business, or any effect of the Merger on our financial results that is inconsistent with the expectations of financial analysts or investors could cause the market price of our common stock to decline. In addition, former Astria securityholders may decide not to hold the shares of our common stock they received in connection with the Merger, and our stockholders may decide to reduce their investment in us as a result of changes to our investment profile following the Merger, which may result in further fluctuations in the market price of our common stock, including a stock price decrease. Any such decline in the market price of our common stock could adversely affect our ability to issue additional securities or obtain financing in the future.</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Product Development and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upon our ability to manage our product candidate pipeline, including through expanding the pipeline, as appropriate, through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In June 2026, we announced the Birmingham Closure Plan to discontinue our internal discovery programs as part of a strategic shift to focus on identifying and advancing high-value opportunities through external innovation. As a result of this decision, we will generally not be able to expand our pipeline with internal product candidates. Identifying, selecting, and in-licensing or acquiring products or product candidates requires substantial expense and technical and financial expertise, and if we are unable to effectively manage our pipeline, expand our portfolio of product candidates through acquisitions or in-licensing, or integrate viable products or product candidates into our business on acceptable terms, or at all, our business and product development efforts could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or biologic development, including failure to demonstrate efficacy, or for biologics, purity and potency,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trial do not necessarily predict final results.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Progression of our product candidates through the clinical development process is dependent upon our trials indicating that our product candidates have adequate safety and efficacy or purity and potency in the patients being treated by achieving predetermined endpoints according to the clinical trial protocols, as well as an adequate benefit-risk profile. Failure to achieve any of these endpoints or to show adequate benefit-risk profile in any of our programs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have in the past, and could again in the future, later be found to be associated with or to cause undesirable or unexpected side effects that could result in substantial modifications or delays in the development plans for our product candidates, significant unexpected costs, or the termination of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product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Undesirable or inconclusive data in our or our partners’ preclinical studies and clinical trials or side effects in humans could result in the FDA or foreign regulatory authorities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protocols or study procedures may not be adequately designed or followed by the investigators, including ensuring that all data is accurately recorded and reported;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 of cell banks or cell line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product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Product Development and Commercialization—Our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we do not know if, when, or how the FDA, Congress, or future judicial challenges may change the orphan drug regulations and policies in the future, and it is uncertain how any changes might affect our business. Depending on what changes the FDA may make to its orphan drug regulations and policies, our business could be adversely impacted. See “</w:t>
      </w:r>
      <w:r>
        <w:rPr>
          <w:rFonts w:ascii="Times New Roman;serif" w:hAnsi="Times New Roman;serif"/>
          <w:b w:val="false"/>
          <w:i/>
          <w:color w:val="000000"/>
          <w:sz w:val="20"/>
        </w:rPr>
        <w:t>Business—Government Regulation—FDA Regulation—Orphan Drug</w:t>
      </w:r>
      <w:r>
        <w:rPr>
          <w:rFonts w:ascii="Times New Roman;serif" w:hAnsi="Times New Roman;serif"/>
          <w:b w:val="false"/>
          <w:color w:val="000000"/>
          <w:sz w:val="20"/>
        </w:rPr>
        <w:t>s” in Part I, Item 1 of our most recent Annual Report on Form 10-K.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cannot guarantee that we will receive breakthrough therapy, fast track, or equivalent designations, which provide certain potential benefits such as more frequent meetings with the applicable regulatory authorities to discuss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development plans, intensive guidance on efficient product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sustain profitability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claims-based market research studies,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not maintain profitability or generate sufficient long-term revenue growth to sustain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Once a new drug application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drug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face competition from biosimilars, which may have a material adverse impact on the future commercial prospects of our biological products and product candidates.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achieving regulatory approval to commercialize a biological product candidate faster than our competitors, we may face competition from biosimilars with respect to our biological product candidates. In the United States, the Biologics Price Competition and Innovation Act (“BPCIA”) was included in the Affordable Care Act (“ACA”) and created an abbreviated approval pathway for biological products that are demonstrated to be “highly similar,” or biosimilar, to or “interchangeable” with an FDA-approved biological product. The BPCIA prohibits the FDA from approving a biosimilar or interchangeable product that references a brand biological product until 12 years after the licensure of the reference product, but permits submission of an application for a biosimilar or interchangeable product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FDA four years after the reference product was first licensed. The BPCIA does not prevent another company from developing a product that is highly similar to the innovative product, generating its own data, and seeking approval. The law is complex and continues to evolve through ongoing FDA implementation and judicial interpretation. As a result, its ultimate impact, implementation and meaning are subject to uncertainty. Modification of the BPCIA, or changes to the interpretation or implementation of the BPCIA, could have a material adverse effect on the future commercial prospects for our biological products and product candidates. </w:t>
      </w:r>
    </w:p>
    <w:p>
      <w:pPr>
        <w:pStyle w:val="TextBody"/>
        <w:bidi w:val="0"/>
        <w:spacing w:before="0" w:after="0"/>
        <w:ind w:left="0" w:right="0" w:firstLine="72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competitors are able to obtain marketing approval for biosimilars referencing our biological products, our biological products may become subject to competition from such biosimilars, with the attendant competitive pressure and consequences which could adversely affect our business and financial results.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successfully commercialize or establish collaborative relationships to commercialize or develop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successfully commercializing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including with, among others, third-party distributors for ORLADEYO in certain markets, with Torii for ORLADEYO in Japan, with Neopharmed for the commercialization of ORLADEYO and navenibart in Europe, and with each of Shionogi and Green Cross for the development and commercialization of peramivir. In addition, in August 2025, Astria announced that it exclusively licensed development and commercialization rights in Japan to Kaken for navenibart.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contracts for collaborative arrangements may expire;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or our partners may not devote sufficient capital or resources toward our products and product candidates;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declare bankruptcy or face other financial distress that could put our partnership or collaborative arrangements at risk;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when or where needed,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a partnership agreement with Torii for ORLADEYO in Japan. Under our agreement with Torii,</w:t>
      </w:r>
      <w:r>
        <w:rPr>
          <w:color w:val="000000"/>
          <w:shd w:fill="FFFFFF" w:val="clear"/>
        </w:rPr>
        <w:t xml:space="preserve"> </w:t>
      </w:r>
      <w:r>
        <w:rPr>
          <w:rFonts w:ascii="Times New Roman;serif" w:hAnsi="Times New Roman;serif"/>
          <w:b w:val="false"/>
          <w:color w:val="000000"/>
          <w:sz w:val="20"/>
          <w:shd w:fill="FFFFFF" w:val="clear"/>
        </w:rPr>
        <w:t>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or maintain success.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partners’ ability to successfully commercialize our products is affected by the competitive landscape;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reimbursement is constantly changing, which could greatly affect usage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future revenue from product sales will depend on our ability to successfully complete clinical studies, obtain regulatory approvals, and manufacture, market, distribute and commercialize our future approved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regulatory approvals, product launches, initial shipments, or ongoing supply arising from manufacturing, formulation, or supply chain issues could impede our ability to meet commercial expectations;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future revenue from sales of ORLADEYO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w:t>
      </w:r>
      <w:r>
        <w:rPr>
          <w:rFonts w:ascii="Times New Roman;serif" w:hAnsi="Times New Roman;serif"/>
          <w:b w:val="false"/>
          <w:color w:val="000000"/>
          <w:sz w:val="20"/>
          <w:shd w:fill="FFFFFF" w:val="clear"/>
        </w:rPr>
        <w:t xml:space="preserve">. Additionally, manufacturing </w:t>
      </w:r>
      <w:r>
        <w:rPr>
          <w:rFonts w:ascii="Times New Roman;serif" w:hAnsi="Times New Roman;serif"/>
          <w:b w:val="false"/>
          <w:color w:val="000000"/>
          <w:sz w:val="20"/>
        </w:rPr>
        <w:t>issues relating to our products could result in delays, interruptions or recalls in commercial supply, which could adversely affect our revenue and results of operations. For example, in May 2026, we announced that we identified a manufacturing issue affecting our oral pellet formulation of ORLADEYO that delayed our initial product fulfillment. The issue was resolved, and the week of August 3, 2026, we began shipping the ORLADEYO oral pellets in the United States to pediatric patients with HAE aged 2 to &lt;12 years.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experienced significant changes in the scope of our operations and capabilities. In addition, we may continue to change certain aspects of our business in connection with acquisitions, licenses, collaborations or other strategic business development activities. As a result, we may encounter difficulties in managing such changes, which could disrupt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changes in the scope of our operations, and any future changes resulting from strategic business development opportunities may require us to further evolve our operational, managerial and financial capabilities. To manage such changes, we must continue to implement and improve our managerial, operational and financial systems and processes and recruit, train, and retain qualified personnel as needed. Due to our limited financial resources and the challenges associated with integrating and supporting new programs, technologies, personnel or business activities, we may not be able to effectively manage any future changes to our operations, implement appropriate systems and processes in a timely manner or at all, or recruit, train, and retain qualified personnel. The evolution of our operations, including as a result of acquisitions, licenses, collaborations or other strategic transactions, may lead to significant costs and may divert management and business development resources. In addition, if a commercial launch for any product or product candidate for which we establish commercial or marketing capabilities in any region is delayed or does not occur for any reason, we would have prematurely or unnecessarily incurred these commercialization expenses. Any inability to manage such changes could delay the execution of our business plans or disrupt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distributors, and specialty pharmacies,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production yields;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termination or non-renewal of an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manufacturing pharmaceutical products, devices and, in particular,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difficulties in scaling the production process and use of excipients which may, among other things, impact shelf life and present concerns with process or quality controls. Even minor deviations from normal manufacturing processes could result in reduced production yields, product defects, other supply disruptions and higher costs. If microbial, viral or other contaminations are discovered at the facilities of our third-party contract manufacturers, such facilities may need to be closed for an extended period of time to investigate and remedy the contamination, which could delay clinical trials, result in higher costs of drug product and adversely affect our business.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operated or managed, the continuance of our commercialization efforts for and sales of ORLADEYO may be delayed or compromised. On August 5, 2026, we announced that we have transitioned to a new sole source specialty pharmacy provider for ORLADEYO shipments to patients. Any disruption, delay or failure associated with this transition, including interruptions in prescription processing, patient onboarding, reimbursement support or product distribution, could adversely affect our commercialization efforts and our product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Additionally, if we are unable to timely establish an alternate supply from one or more third-party contract manufacturers, we could experience delays in our development efforts as we seek to locate and qualify new or additional manufacturers. For particular products, product candidates, services or particular regions where we rely on a single vendor, these and other related risks are exacerbated for us.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third-party manufacturers also may not meet our manufacturing requirements, which could result in a delay in approval, or rejection, of our marketing applications by the FDA or other regulatory authority.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contract manufacturing organization (“CMO”) in China for the manufacturing of certain of our product candidates. Foreign CMOs may be subject to U.S. legislation, including the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in the past and may from time to time in the future reassess our existing third</w:t>
        <w:noBreakHyphen/>
        <w:t>party vendor arrangements and determine that changes to one or more vendors are necessary, which could result in delays to development or commercialization. In addition, 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r>
        <w:rPr>
          <w:color w:val="000000"/>
        </w:rPr>
        <w:t xml:space="preserve"> </w:t>
      </w:r>
      <w:r>
        <w:rPr>
          <w:rFonts w:ascii="Times New Roman;serif" w:hAnsi="Times New Roman;serif"/>
          <w:b w:val="false"/>
          <w:color w:val="000000"/>
          <w:sz w:val="20"/>
        </w:rPr>
        <w:t>If we cannot rely on existing third-party vendors, including our third-party manufacturers, distributors, CROs, or specialty pharmacies, we will be required to incur significant costs and potential delays in finding new third-party vendors, which could adversely impact the development and commercialization timeframes for our products and product candidates and could negatively affect our business, financial results, and revenue.</w:t>
      </w:r>
    </w:p>
    <w:p>
      <w:pPr>
        <w:pStyle w:val="TextBody"/>
        <w:bidi w:val="0"/>
        <w:spacing w:lineRule="auto" w:line="288" w:before="200" w:after="283"/>
        <w:jc w:val="left"/>
        <w:rPr/>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product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supply commercial material, including supplying sufficient product to meet commercial demand, and we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biotechnology and pharmaceutical industries are highly competitive and subject to rapid and substantial technological change. There are many companies seeking to develop products for the same indications that we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target. Our competitors in the United States and elsewhere are numerous and include, among others, major multinational pharmaceutical and chemical companies and specialized biotechnology firms. Many of these competitors have greater resources than we do, including greater financial resources, larger research and development staffs and more experienced manufacturing, marketing, and sales organizations. In addition, many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product development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received FDA approval of ORLADEYO, an oral, once-daily therapy for the prevention of HAE attacks in adults and pediatric patients aged 12 years and older, in December 2020, and subsequently received regulatory approvals for ORLADEYO in other global markets. In December 2025, the FDA approved the use of an oral pellet formulation of once-daily ORLADEYO for prophylactic therapy in pediatric patients with HAE aged 2 to &lt;12 years. We are also performing research on or developing products for the treatment of other rare diseases, and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Various government entities throughout the world may also offer incentives, grants and contracts to encourage additional investment into certain preventative and therapeutic agents, which may have the effect of further increasing the number of our competitors and/or providing advantages to certain competitors. In addition, the approval of a generic drug or biosimilar of one of our products or a product with which we compete could have a material impact on our business because it may be significantly less costly to bring to market and may be priced significantly lower than our products or the other products with which we compete. See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facilities.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the HHS, Office of Inspector General, and state and local governments) and their foreign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or biological product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 holder of an approved marketing application,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 holder of an approved marketing application,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 xml:space="preserve">in Part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impact our product pricing and/or revenues, affect our supply chain or otherwise adversely affect our business. If we are slow or unable to adapt to changes in existing requirements or the adoption of new requirements or policies, or if we are not able to maintain regulatory compliance, we may lose any marketing approval that we may have obtained, we may not be able to obtain new marketing approvals, and we may not achieve sustained profitability. In addition, significant tariffs, trade measures or other restrictions imposed and related countermeasures taken by impacted foreign countries could adversely affect our operations and financial results.</w:t>
      </w:r>
      <w:r>
        <w:rPr>
          <w:color w:val="212529"/>
          <w:shd w:fill="FFFFFF" w:val="clear"/>
        </w:rPr>
        <w:t xml:space="preserve"> </w:t>
      </w:r>
      <w:r>
        <w:rPr>
          <w:rFonts w:ascii="Times New Roman;serif" w:hAnsi="Times New Roman;serif"/>
          <w:b w:val="false"/>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June 2024, the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which had given deference to regulatory agencies’ statutory interpretations of ambiguous regulations in litigation against federal government agencies, such as the FDA. The overruling of the </w:t>
      </w:r>
      <w:r>
        <w:rPr>
          <w:rFonts w:ascii="Times New Roman;serif" w:hAnsi="Times New Roman;serif"/>
          <w:b w:val="false"/>
          <w:i/>
          <w:color w:val="000000"/>
          <w:sz w:val="20"/>
        </w:rPr>
        <w:t xml:space="preserve">Chevron </w:t>
      </w:r>
      <w:r>
        <w:rPr>
          <w:rFonts w:ascii="Times New Roman;serif" w:hAnsi="Times New Roman;serif"/>
          <w:b w:val="false"/>
          <w:color w:val="000000"/>
          <w:sz w:val="20"/>
        </w:rPr>
        <w:t>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under the new leadership at HHS under the current administration, agency reorganization, mass layoffs due to the reduction in force initiative and other measures may impact the normal operations of the FDA as well as other federal agencies. FDA may lack adequate staff and resources to meet current review, approval, and inspection schedules, which could delay our anticipated timelines. Recent developments at the FDA include announcement of a plan to phase out animal testing for monoclonal antibodies 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The FDA has also increased its scrutiny of foreign drug manufacturing facilities and other contractors based in China, especially with respect to the transfer of biological materials, genetic data, and other sensitive data of U.S. patients to parties located in China. It is unclear how our industry and our clinical programs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the agency reorganization and other agency changes lead to disruptions in the FDA’s operations, our correspondence and regulatory review processes with the FDA may be materially delayed.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rPr/>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erif" w:hAnsi="Times New Roman;serif"/>
          <w:b/>
          <w:i/>
          <w:color w:val="000000"/>
          <w:sz w:val="20"/>
        </w:rPr>
        <w:t>ability to commercialize our products or develop our product candidates.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manufacturers and other entities in the drug supply chain to track and trace each prescription drug at the saleable unit level through the distribution system. The FDA has finalized and proposed regulations implementing such requirements at a federal level. Our compliance with these requirements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$2,100 in 2026;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took various steps, both legislative and executive, intended to lower the cost of prescription drugs. The President issued multiple executive orders and took other steps to secure pharmaceutical manufacturers’ agreements to lower certain U.S. prescription drug prices to most favored nation levels, to facilitate direct-to-patient sales of certain U.S. prescription drugs, and to secure agreements to repatriate increased ex-U.S. revenues generated as a result of U.S. Government action that increases drug prices outside the United States. On July 4, 2025, the One Big Beautiful Bill Act (“OBBBA”) was signed into law in the United States. The OBBBA contains a variety of provisions that could impact our business and results of operations. On January 15, 2026, the White House proposed that Congress enact the Great Healthcare Plan Act, which seeks to lower prescription drug and insurance prices. Multiple U.S. states have also enacted legislation intended to decrease the price of prescription drugs.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legislation or rule-making related to the IRA or drug pricing more generally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be subject to legal obligations at the international,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Compliance with stringent and evolving international and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also may be subject to international privacy and data protection laws, such as the General Data Protection Regulation (“GDPR”) in the European Economic Area (“EEA”) and similar legislation in the United Kingdom and 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and “</w:t>
      </w:r>
      <w:r>
        <w:rPr>
          <w:rFonts w:ascii="Times New Roman;serif" w:hAnsi="Times New Roman;serif"/>
          <w:b w:val="false"/>
          <w:i/>
          <w:color w:val="000000"/>
          <w:sz w:val="20"/>
        </w:rPr>
        <w:t>Risks Relating to Our Business—Risks Relating to International Operations—Our actual or perceived failure to comply with European or other international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and the abilities of our partners to obtain, protect and enforce viable intellectual property rights including, but not limited to, trade name, trademark and patent protection for our Company and subsidiaries and the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as described under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The NCE-1 date for ORLADEYO was in December 2024. In January 2025 and January 2026, we received a Paragraph IV notice of certification from Annora advising that Annora has submitted an ANDA to the FDA seeking approval to manufacture, use or sell a generic version of ORLADEYO in the United States prior to the expiration of four patents listed in the FDA’s Orange Book, which expire in May 2040</w:t>
      </w:r>
      <w:r>
        <w:rPr>
          <w:rFonts w:ascii="Times New Roman;serif" w:hAnsi="Times New Roman;serif"/>
          <w:b w:val="false"/>
          <w:color w:val="000000"/>
          <w:sz w:val="20"/>
          <w:shd w:fill="FFFFFF" w:val="clear"/>
        </w:rPr>
        <w:t>. On March 10, 2025, as supplemented by the First Amended Complaint filed in December 2025, we ﬁled a patent infringement lawsuit in the United States District Court for the District of Delaware against the Defendants (as defined in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asserting infringement of the challenged patents arising from Annora’s ANDA filing with the FDA. </w:t>
      </w:r>
      <w:r>
        <w:rPr>
          <w:rFonts w:ascii="Times New Roman;serif" w:hAnsi="Times New Roman;serif"/>
          <w:b w:val="false"/>
          <w:color w:val="000000"/>
          <w:sz w:val="20"/>
        </w:rPr>
        <w:t xml:space="preserve">For further information, </w:t>
      </w:r>
      <w:r>
        <w:rPr>
          <w:rFonts w:ascii="Times New Roman;serif" w:hAnsi="Times New Roman;serif"/>
          <w:b w:val="false"/>
          <w:color w:val="000000"/>
          <w:sz w:val="20"/>
          <w:shd w:fill="FFFFFF" w:val="clear"/>
        </w:rPr>
        <w:t>see the section titled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w:t>
      </w:r>
      <w:r>
        <w:rPr>
          <w:rFonts w:ascii="Times New Roman;serif" w:hAnsi="Times New Roman;serif"/>
          <w:b w:val="false"/>
          <w:color w:val="000000"/>
          <w:sz w:val="20"/>
        </w:rPr>
        <w:t>and “</w:t>
      </w:r>
      <w:r>
        <w:rPr>
          <w:rFonts w:ascii="Times New Roman;serif" w:hAnsi="Times New Roman;serif"/>
          <w:b w:val="false"/>
          <w:i/>
          <w:color w:val="000000"/>
          <w:sz w:val="20"/>
        </w:rPr>
        <w:t>Note 15—Commitments and Contingencies”</w:t>
      </w:r>
      <w:r>
        <w:rPr>
          <w:color w:val="000000"/>
        </w:rPr>
        <w:t xml:space="preserve"> </w:t>
      </w:r>
      <w:r>
        <w:rPr>
          <w:rFonts w:ascii="Times New Roman;serif" w:hAnsi="Times New Roman;serif"/>
          <w:b w:val="false"/>
          <w:color w:val="000000"/>
          <w:sz w:val="20"/>
        </w:rPr>
        <w:t>in the Notes to the Condensed Consolidated Financial Statements in Part I, Item 1 of this report. We intend to vigorously defend our intellectual property rights protecting ORLADEYO. Additional third parties could challenge our applicable patents, which may result in our initiation of patent infringement litigation in response to such challenge.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damages.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in part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managing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face risks related to our former U.S. Government contracts.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contracts with the Biomedical Advanced Research and Development Authority within HHS and the National Institute of Allergy and Infectious Diseases within 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these U.S. Government contracts pending final close out of these contracts.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Because continuing events of default exist under the PhaRMA Notes, the holders of the PhaRMA Notes may be able to foreclose on the collateral securing the PhaRMA Notes and our equity interest in Royalty Sub. As a result,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2011, JPR Royalty Sub LLC, our wholly 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indebtedness, which could adversely affect our business. Additionally, the Blackstone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we entered into the Blackstone Loan Agreement, pursuant to which the lenders funded initial term loans in the aggregate principal amount of $400.0 million. Subject to the mutual agreement between the Company, Blackstone and the lenders, we may request additional term loans up to an aggregate amount not exceeding $150.0 million. Under the Blackstone Loan Agreement, we will be required to pay to the lenders a prepayment premium or a make-whole premium, as applicable, in the event that, prior to the fourth anniversary of the closing date of the Blackstone Loan Agreement, we prepay or repay, or are required to prepay or repay, voluntarily or pursuant to a mandatory prepayment obligation under the Blackstone Loan Agreement (e.g., upon certain asset sales, a change of control of the Company and specified other events, subject to certain exceptions), all or part of the then-outstanding term loans under the Blackstone Loan Agreement, in each case, subject to certain exceptions as set forth in the Blackstone Loan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indebtedness could have important consequences to our stockholders. For example, 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makes us more vulnerable to increases in interest rates, as borrowings under the Blackstone Loan Agreement will accrue interest at variable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requires us to dedicate a portion of our cash flow from operations to interest payments and a covenant to maintain minimum liquidity levels, limiting the availability of cash for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places us at a competitive disadvantage compared to our competitors that have less indebtedness.</w:t>
      </w:r>
    </w:p>
    <w:p>
      <w:pPr>
        <w:pStyle w:val="TextBody"/>
        <w:bidi w:val="0"/>
        <w:spacing w:before="0" w:after="0"/>
        <w:jc w:val="left"/>
        <w:rPr/>
      </w:pPr>
      <w:r>
        <w:rPr/>
      </w:r>
    </w:p>
    <w:p>
      <w:pPr>
        <w:pStyle w:val="TextBody"/>
        <w:bidi w:val="0"/>
        <w:spacing w:lineRule="auto" w:line="288" w:before="0" w:after="0"/>
        <w:ind w:left="0" w:right="0" w:firstLine="547"/>
        <w:jc w:val="left"/>
        <w:rPr/>
      </w:pPr>
      <w:r>
        <w:rPr>
          <w:rFonts w:ascii="Times New Roman;serif" w:hAnsi="Times New Roman;serif"/>
          <w:b w:val="false"/>
          <w:color w:val="000000"/>
          <w:sz w:val="20"/>
        </w:rPr>
        <w:t>Furthermore, the Blackstone Loan Agreement contains covenants that limit our ability to engage in specified types of transactions. Subject to certain exceptio</w:t>
      </w:r>
      <w:r>
        <w:rPr>
          <w:rFonts w:ascii="Times New Roman;serif" w:hAnsi="Times New Roman;serif"/>
          <w:b w:val="false"/>
          <w:color w:val="000000"/>
          <w:sz w:val="20"/>
          <w:shd w:fill="FFFFFF" w:val="clear"/>
        </w:rPr>
        <w:t>ns, these covenants limit our ability to, among other things, dispose of assets; engage in certain mergers, acquisitions, and similar</w:t>
      </w:r>
      <w:r>
        <w:rPr>
          <w:color w:val="000000"/>
        </w:rPr>
        <w:t xml:space="preserve"> </w:t>
      </w:r>
      <w:r>
        <w:rPr>
          <w:rFonts w:ascii="Times New Roman;serif" w:hAnsi="Times New Roman;serif"/>
          <w:b w:val="false"/>
          <w:color w:val="000000"/>
          <w:sz w:val="20"/>
        </w:rPr>
        <w:t>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covenants contained in the Blackstone Loan Agreement could cause us to be unable to pursue business opportunities that we or our stockholders may consider beneficial without the lenders’ permission or without repaying all outstanding obligations under the Blackstone Loan Agreement.</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Blackstone Loan Agreement. An event of default will also occur if, among other things, we fail to pay amounts due under the Blackstone Loan Agreement, we fail to repay certain other indebtedness having an aggregate principal amount in excess of a threshold amount, an insolvency event occurs with respect to us, judgments for the payment of money in excess of a threshold amount are entered into against us, or a material impairment of our ability to perform our obligations under the Blackstone Loan Agreement occurs or certain negative regulatory events occur. In the case of a continuing event of default under the Blackstone Loan Agreement, the lenders under the Blackstone Loan Agreement could elect to declare all amounts outstanding to be immediately due and payable, proceed against the collateral in which we granted to the lenders a security interest, or otherwise exercise the rights of a secured creditor. Amounts outstanding under the Blackstone Loan Agreement are secured by a security interest in, subject to certain exceptions, substantially all of our assets. Because substantially all of our assets are pledged to secure the Blackstone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conduct clinical studies and regulatory activities and have hired employees outside of the United States. Doing business internationally involves a number of risks,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regulatory and compliance risks that relate to maintaining accurate information and control over commercial operations and activities that may fall within the purview of the U.S. Foreign Corrupt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 including its books and records provisions or anti-bribery provisions, and foreign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international expansion of operations and adversely affect our business and results of operations. Additionally, in some countries, such as Japan,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conduct operations in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we have foreign currency exposure to fluctuations in other foreign currencies, such as the Euro,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 Item 3 of this report for additional information about our foreign currency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or other international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as well as laws and regulations outside Europe,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and other laws and regulations,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Other laws and regulations have requirements that are similar, and in some instances more far-reaching.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personal data necessary to operate our business. We are also subject to evolving European and other privacy laws on electronic marketing and cookies.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product development process.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product development process, and any system failure could harm our business and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to operate our business. In addition, the FDA and other U.S. and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are heightened by the wide adoption of virtual and remote working, with sensitive data accessed by employees working in less secure, home-based environments, as well as the increasing use of generative AI by both employees and third parties.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use AI in our business, and challenges with properly managing its use could adversely affect our business.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increasing use of AI and machine learning technology in the biopharmaceutical industry, combined with an uncertain regulatory environment, presents new risks and challenges. We have adopted and integrated certain AI solutions into our ecosystem, and applications of AI may become increasingly more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tools may lead to the inadvertent release of confidential or proprietary information, which may adversely impact our ability to realize the benefit of our intellectual property, cause us to incur liabilities as the result of any breaches of confidentiality, impact our ability to comply with data security and privacy laws, and introduce additional cybersecurity risks.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ability to maintain global brand uniformity for ORLADEYO may be impacted by the sale of our European ORLADEYO business.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connection with the sale of our </w:t>
      </w:r>
      <w:r>
        <w:rPr>
          <w:rFonts w:ascii="Times New Roman;serif" w:hAnsi="Times New Roman;serif"/>
          <w:b w:val="false"/>
          <w:color w:val="000000"/>
          <w:sz w:val="20"/>
        </w:rPr>
        <w:t>European ORLADEYO business, we entered into the Global Brand and Support Agreement, which provides for coordination of brand and regulatory activities regarding ORLADEYO products. While this agreement is intended to promote alignment on brand and related activities with Neopharmed, we do not have sole control over how ORLADEYO is positioned, supported or communicated in Europe, and we may not be able to maintain global brand uniformity with respect to ORLADEYO. This risk may be heightened given that ORLADEYO is indicated for a rare disease with a limited number of key opinion leaders and relatively few scientific publications or forums that reach a broad global audience. If we are unable to maintain a consistent and effective global brand presence for ORLADEYO, our ability to maximize the anticipated benefits of the sale, support future growth and realize the expected long</w:t>
        <w:noBreakHyphen/>
        <w:t>term value of ORLADEYO could be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know the full extent and magnitude of the impacts that any future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fail to attract and retain additional key personnel, the development of our product candidates, the commercialization of our products, and the related growth of our business may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unexpected loss of service of our senior management and other key personnel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will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shift toward external innovation, including in connection with the Birmingham Closure Plan, may increase our reliance on acquisitions, strategic investments, partnerships or other business development transactions to expand our product candidate pipeline. We may not identify suitable opportunities, complete transactions on acceptable terms or at all, or realize the anticipated operational, financial or strategic benefits of any such transactions or related initiatives on the expected timeline or at all. Additionally, actual costs of the Birmingham Closure Plan may exceed our estimates, anticipated savings may not be realized or may be offset by costs associated with external innovation, business development, acquired or licensed programs or other strategic priorities, and the closure of our Birmingham facility and related workforce reduction may result in the loss of institutional knowledge or technical expertise, adversely affect employee morale or retention, divert management attention or disrupt our operations. If we do not execute this strategy effectively, our business, financial condition, results of operations, liquidity and ability to execute our strategic priorities could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in which case we may not realize any return on our investment in these programs and may incur costs associated with their termination. For example, after evaluating potential partnering opportunities for the continued development of avoralstat, we determined in the quarter ended March 31, 2026 to terminate the avoralstat program to focus the pipeline on rare diseases. We may have continued financial exposure to divested or licensed businesses following the completion of any such transactions,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Some of our stockholders own greater than 5% of our outstanding common stock. Our top ten stockholders own approximately</w:t>
      </w:r>
      <w:r>
        <w:rPr>
          <w:color w:val="000000"/>
          <w:shd w:fill="FFFFFF" w:val="clear"/>
        </w:rPr>
        <w:t xml:space="preserve"> </w:t>
      </w:r>
      <w:r>
        <w:rPr>
          <w:rFonts w:ascii="Times New Roman;serif" w:hAnsi="Times New Roman;serif"/>
          <w:b w:val="false"/>
          <w:color w:val="000000"/>
          <w:sz w:val="20"/>
          <w:shd w:fill="FFFFFF" w:val="clear"/>
        </w:rPr>
        <w:t xml:space="preserve">50% </w:t>
      </w:r>
      <w:r>
        <w:rPr>
          <w:rFonts w:ascii="Times New Roman;serif" w:hAnsi="Times New Roman;serif"/>
          <w:b w:val="false"/>
          <w:color w:val="000000"/>
          <w:sz w:val="20"/>
        </w:rPr>
        <w:t>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2026, the 52-week range of the market price of our stock was from $6.00 to $10.94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dilution through sales or issuances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the status of our programs or changes to our operations or business strategy (such as the Birmingham Closure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or our partners achieving or failing to achieve development milestones;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(such as the Merger), strategic partnerships, divestitures (such as the sale of our European ORLADEYO business to Neopharmed),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volatility could cause the value of an investment in our common stock to decline significantly. In addition, companies that have experienced volatility in the market price of their stock in the past have been subject to securities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of our common stock by us or our current stockholders into the public market could cause the market price of our stock to fall. As of June 30, 2026, there were 255,264,641 shares of our common stock outstanding. We may from time to time issue securities in relation to a license arrangement, collaboration, merger or acquisition (such as in connection with the Merger). 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44,325,993 stock options and restricted stock units outstanding and 15,758,988 shares available for issuance under our Amended and Restated Stock Incentive Plan, 4,992,640 stock options and restricted stock units outstanding and 1,020,265 shares available for issuance under our Amended and Restated Inducement Equity Incentive Plan, and 4,474,985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rPr/>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erif" w:hAnsi="Times New Roman;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87"/>
        <w:gridCol w:w="2680"/>
        <w:gridCol w:w="38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Certificate of Elimination of the Series B Junior Participating Preferred Stock. Incorporated by reference to Exhibit 3.1 to the Company’s Form 8-K filed May 13, 202</w:t>
              </w:r>
            </w:hyperlink>
            <w:hyperlink r:id="rId6">
              <w:r>
                <w:rPr>
                  <w:rStyle w:val="InternetLink"/>
                  <w:rFonts w:ascii="Times New Roman;serif" w:hAnsi="Times New Roman;serif"/>
                  <w:b w:val="false"/>
                  <w:color w:val="000080"/>
                  <w:sz w:val="20"/>
                  <w:u w:val="single"/>
                </w:rPr>
                <w:t>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3.2 to the Company’s Form 8-K filed May 13, 2020.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ardirectorcompensatio.htm">
              <w:r>
                <w:rPr>
                  <w:rStyle w:val="InternetLink"/>
                  <w:rFonts w:ascii="Times New Roman;serif" w:hAnsi="Times New Roman;serif"/>
                  <w:b w:val="false"/>
                  <w:color w:val="000080"/>
                  <w:sz w:val="20"/>
                  <w:u w:val="single"/>
                </w:rPr>
                <w:t>BioCrys</w:t>
              </w:r>
            </w:hyperlink>
            <w:hyperlink w:anchor="bcrx-ardirectorcompensatio.htm">
              <w:r>
                <w:rPr>
                  <w:rStyle w:val="InternetLink"/>
                  <w:rFonts w:ascii="Times New Roman;serif" w:hAnsi="Times New Roman;serif"/>
                  <w:b w:val="false"/>
                  <w:color w:val="000080"/>
                  <w:sz w:val="20"/>
                  <w:u w:val="single"/>
                </w:rPr>
                <w:t xml:space="preserve">t Pharmaceuticals, Inc. Amended and Restated Non-Employee Director Compensation </w:t>
              </w:r>
            </w:hyperlink>
            <w:hyperlink w:anchor="bcrx-ardirectorcompensatio.htm">
              <w:r>
                <w:rPr>
                  <w:rStyle w:val="InternetLink"/>
                  <w:rFonts w:ascii="Times New Roman;serif" w:hAnsi="Times New Roman;serif"/>
                  <w:b w:val="false"/>
                  <w:color w:val="000080"/>
                  <w:sz w:val="20"/>
                  <w:u w:val="single"/>
                </w:rPr>
                <w:t>Policy</w:t>
              </w:r>
            </w:hyperlink>
            <w:hyperlink w:anchor="bcrx-ardirectorcompensatio.htm">
              <w:r>
                <w:rPr>
                  <w:rStyle w:val="InternetLink"/>
                  <w:rFonts w:ascii="Times New Roman;serif" w:hAnsi="Times New Roman;serif"/>
                  <w:b w:val="false"/>
                  <w:color w:val="000080"/>
                  <w:sz w:val="20"/>
                  <w:u w:val="single"/>
                </w:rPr>
                <w:t>, effective J</w:t>
              </w:r>
            </w:hyperlink>
            <w:hyperlink w:anchor="bcrx-ardirectorcompensatio.htm">
              <w:r>
                <w:rPr>
                  <w:rStyle w:val="InternetLink"/>
                  <w:rFonts w:ascii="Times New Roman;serif" w:hAnsi="Times New Roman;serif"/>
                  <w:b w:val="false"/>
                  <w:color w:val="000080"/>
                  <w:sz w:val="20"/>
                  <w:u w:val="single"/>
                </w:rPr>
                <w:t>une</w:t>
              </w:r>
            </w:hyperlink>
            <w:hyperlink w:anchor="bcrx-ardirectorcompensatio.htm">
              <w:r>
                <w:rPr>
                  <w:rStyle w:val="InternetLink"/>
                  <w:rFonts w:ascii="Times New Roman;serif" w:hAnsi="Times New Roman;serif"/>
                  <w:b w:val="false"/>
                  <w:color w:val="000080"/>
                  <w:sz w:val="20"/>
                  <w:u w:val="single"/>
                </w:rPr>
                <w:t xml:space="preserve"> </w:t>
              </w:r>
            </w:hyperlink>
            <w:hyperlink w:anchor="bcrx-ardirectorcompensatio.htm">
              <w:r>
                <w:rPr>
                  <w:rStyle w:val="InternetLink"/>
                  <w:rFonts w:ascii="Times New Roman;serif" w:hAnsi="Times New Roman;serif"/>
                  <w:b w:val="false"/>
                  <w:color w:val="000080"/>
                  <w:sz w:val="20"/>
                  <w:u w:val="single"/>
                </w:rPr>
                <w:t>1</w:t>
              </w:r>
            </w:hyperlink>
            <w:hyperlink w:anchor="bcrx-ardirectorcompensatio.htm">
              <w:r>
                <w:rPr>
                  <w:rStyle w:val="InternetLink"/>
                  <w:rFonts w:ascii="Times New Roman;serif" w:hAnsi="Times New Roman;serif"/>
                  <w:b w:val="false"/>
                  <w:color w:val="000080"/>
                  <w:sz w:val="20"/>
                  <w:u w:val="single"/>
                </w:rPr>
                <w:t>, 2026</w:t>
              </w:r>
            </w:hyperlink>
            <w:hyperlink w:anchor="bcrx-ardirectorcompensatio.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20"/>
                  <w:u w:val="single"/>
                </w:rPr>
                <w:t>Employment Agreement, effective April 6, 2026, by and between BioCryst Pharmaceuticals, Inc. and Sandeep Menon.</w:t>
              </w:r>
            </w:hyperlink>
            <w:hyperlink r:id="rId10">
              <w:r>
                <w:rPr>
                  <w:rStyle w:val="InternetLink"/>
                  <w:rFonts w:ascii="Times New Roman;serif" w:hAnsi="Times New Roman;serif"/>
                  <w:b w:val="false"/>
                  <w:color w:val="000080"/>
                  <w:sz w:val="20"/>
                  <w:u w:val="single"/>
                </w:rPr>
                <w:t xml:space="preserve"> Incorporated by reference to Exhibit 10.3 to the </w:t>
              </w:r>
            </w:hyperlink>
            <w:hyperlink r:id="rId11">
              <w:r>
                <w:rPr>
                  <w:rStyle w:val="InternetLink"/>
                  <w:rFonts w:ascii="Times New Roman;serif" w:hAnsi="Times New Roman;serif"/>
                  <w:b w:val="false"/>
                  <w:color w:val="000080"/>
                  <w:sz w:val="20"/>
                  <w:u w:val="single"/>
                </w:rPr>
                <w:t>Company</w:t>
              </w:r>
            </w:hyperlink>
            <w:hyperlink r:id="rId12">
              <w:r>
                <w:rPr>
                  <w:rStyle w:val="InternetLink"/>
                  <w:rFonts w:ascii="Times New Roman;serif" w:hAnsi="Times New Roman;serif"/>
                  <w:b w:val="false"/>
                  <w:color w:val="000080"/>
                  <w:sz w:val="20"/>
                  <w:u w:val="single"/>
                </w:rPr>
                <w:t>’</w:t>
              </w:r>
            </w:hyperlink>
            <w:hyperlink r:id="rId13">
              <w:r>
                <w:rPr>
                  <w:rStyle w:val="InternetLink"/>
                  <w:rFonts w:ascii="Times New Roman;serif" w:hAnsi="Times New Roman;serif"/>
                  <w:b w:val="false"/>
                  <w:color w:val="000080"/>
                  <w:sz w:val="20"/>
                  <w:u w:val="single"/>
                </w:rPr>
                <w:t xml:space="preserve">s </w:t>
              </w:r>
            </w:hyperlink>
            <w:hyperlink r:id="rId14">
              <w:r>
                <w:rPr>
                  <w:rStyle w:val="InternetLink"/>
                  <w:rFonts w:ascii="Times New Roman;serif" w:hAnsi="Times New Roman;serif"/>
                  <w:b w:val="false"/>
                  <w:color w:val="000080"/>
                  <w:sz w:val="20"/>
                  <w:u w:val="single"/>
                </w:rPr>
                <w:t>Form 10-Q filed May 6,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10.3&amp;</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80"/>
                  <w:sz w:val="20"/>
                  <w:u w:val="single"/>
                </w:rPr>
                <w:t>BioCryst Pharmaceuticals, Inc. Stock Incentive Plan (as amended and restated as of April 20, 2026). Inco</w:t>
              </w:r>
            </w:hyperlink>
            <w:hyperlink r:id="rId16">
              <w:r>
                <w:rPr>
                  <w:rStyle w:val="InternetLink"/>
                  <w:rFonts w:ascii="Times New Roman;serif" w:hAnsi="Times New Roman;serif"/>
                  <w:b w:val="false"/>
                  <w:color w:val="000080"/>
                  <w:sz w:val="20"/>
                  <w:u w:val="single"/>
                </w:rPr>
                <w:t xml:space="preserve">rporated by reference to Exhibit 10.1 </w:t>
              </w:r>
            </w:hyperlink>
            <w:hyperlink r:id="rId17">
              <w:r>
                <w:rPr>
                  <w:rStyle w:val="InternetLink"/>
                  <w:rFonts w:ascii="Times New Roman;serif" w:hAnsi="Times New Roman;serif"/>
                  <w:b w:val="false"/>
                  <w:color w:val="000080"/>
                  <w:sz w:val="20"/>
                  <w:u w:val="single"/>
                </w:rPr>
                <w:t>to the Company</w:t>
              </w:r>
            </w:hyperlink>
            <w:hyperlink r:id="rId18">
              <w:r>
                <w:rPr>
                  <w:rStyle w:val="InternetLink"/>
                  <w:rFonts w:ascii="Times New Roman;serif" w:hAnsi="Times New Roman;serif"/>
                  <w:b w:val="false"/>
                  <w:color w:val="000080"/>
                  <w:sz w:val="20"/>
                  <w:u w:val="single"/>
                </w:rPr>
                <w:t>’</w:t>
              </w:r>
            </w:hyperlink>
            <w:hyperlink r:id="rId19">
              <w:r>
                <w:rPr>
                  <w:rStyle w:val="InternetLink"/>
                  <w:rFonts w:ascii="Times New Roman;serif" w:hAnsi="Times New Roman;serif"/>
                  <w:b w:val="false"/>
                  <w:color w:val="000080"/>
                  <w:sz w:val="20"/>
                  <w:u w:val="single"/>
                </w:rPr>
                <w:t>s Form 8-K filed</w:t>
              </w:r>
            </w:hyperlink>
            <w:hyperlink r:id="rId20">
              <w:r>
                <w:rPr>
                  <w:rStyle w:val="InternetLink"/>
                  <w:rFonts w:ascii="Times New Roman;serif" w:hAnsi="Times New Roman;serif"/>
                  <w:b w:val="false"/>
                  <w:color w:val="000080"/>
                  <w:sz w:val="20"/>
                  <w:u w:val="single"/>
                </w:rPr>
                <w:t xml:space="preserve"> June </w:t>
              </w:r>
            </w:hyperlink>
            <w:hyperlink r:id="rId21">
              <w:r>
                <w:rPr>
                  <w:rStyle w:val="InternetLink"/>
                  <w:rFonts w:ascii="Times New Roman;serif" w:hAnsi="Times New Roman;serif"/>
                  <w:b w:val="false"/>
                  <w:color w:val="000080"/>
                  <w:sz w:val="20"/>
                  <w:u w:val="single"/>
                </w:rPr>
                <w:t>12</w:t>
              </w:r>
            </w:hyperlink>
            <w:hyperlink r:id="rId22">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630x10xqxex311.htm">
              <w:r>
                <w:rPr>
                  <w:rStyle w:val="InternetLink"/>
                  <w:rFonts w:ascii="Times New Roman;serif" w:hAnsi="Times New Roman;serif"/>
                  <w:b w:val="false"/>
                  <w:color w:val="0000FF"/>
                  <w:sz w:val="20"/>
                  <w:u w:val="single"/>
                </w:rPr>
                <w:t>Certification of the Principal Executive Officer Pursuant to Rule 13a-14(a) and Rule 15d-14(a) of the Securities Exchange Act of 1934, as Amended,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630x10xqxex312.htm">
              <w:r>
                <w:rPr>
                  <w:rStyle w:val="InternetLink"/>
                  <w:rFonts w:ascii="Times New Roman;serif" w:hAnsi="Times New Roman;serif"/>
                  <w:b w:val="false"/>
                  <w:color w:val="0000FF"/>
                  <w:sz w:val="20"/>
                  <w:u w:val="single"/>
                </w:rPr>
                <w:t>Certification of the Principal Financial Officer Pursuant to Rule 13a-14(a) and Rule 15d-14(a) of the Securities Exchange Act of 1934, as Amended,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630x10xqx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60630x10xqx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BioCryst Pharmaceuticals, Inc. for the three and six months ended June 30, 2026, formatted in Inline XBRL: (i) Condensed Consolidated Balance Sheets, (ii) Condensed Consolidated Statements of Comprehensive Income (Loss), (iii) Condensed Consolidated Statements of Cash Flows, (iv) Condensed Consolidated Statements of Stockholders’ Deficit, and (v) Notes to Condensed Consolidated Financial Statements, tagged as blocks of text and including detailed tags.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186"/>
        <w:gridCol w:w="165"/>
        <w:gridCol w:w="166"/>
        <w:gridCol w:w="2921"/>
        <w:gridCol w:w="2801"/>
        <w:gridCol w:w="3966"/>
      </w:tblGrid>
      <w:tr>
        <w:trPr/>
        <w:tc>
          <w:tcPr>
            <w:tcW w:w="1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6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&amp;</w:t>
            </w:r>
          </w:p>
        </w:tc>
        <w:tc>
          <w:tcPr>
            <w:tcW w:w="96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237d13f25f63422fbdba7007a671c608_7">
        <w:r>
          <w:rPr>
            <w:rStyle w:val="InternetLink"/>
            <w:rFonts w:ascii="Times New Roman;serif" w:hAnsi="Times New Roman;serif"/>
            <w:b w:val="false"/>
            <w:color w:val="000080"/>
            <w:sz w:val="20"/>
            <w:u w:val="single"/>
          </w:rPr>
          <w:t>Table of Content</w:t>
        </w:r>
      </w:hyperlink>
      <w:hyperlink w:anchor="i237d13f25f63422fbdba7007a671c608_7">
        <w:r>
          <w:rPr>
            <w:rStyle w:val="InternetLink"/>
            <w:rFonts w:ascii="Times New Roman;serif" w:hAnsi="Times New Roman;serif"/>
            <w:b w:val="false"/>
            <w:color w:val="000080"/>
            <w:sz w:val="20"/>
            <w:u w:val="single"/>
          </w:rPr>
          <w: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this 5th day of August, 2026.</w:t>
      </w:r>
    </w:p>
    <w:tbl>
      <w:tblPr>
        <w:tblW w:w="10205" w:type="dxa"/>
        <w:jc w:val="left"/>
        <w:tblInd w:w="0" w:type="dxa"/>
        <w:tblLayout w:type="fixed"/>
        <w:tblCellMar>
          <w:top w:w="28" w:type="dxa"/>
          <w:left w:w="28" w:type="dxa"/>
          <w:bottom w:w="28" w:type="dxa"/>
          <w:right w:w="28" w:type="dxa"/>
        </w:tblCellMar>
      </w:tblPr>
      <w:tblGrid>
        <w:gridCol w:w="1975"/>
        <w:gridCol w:w="1736"/>
        <w:gridCol w:w="1737"/>
        <w:gridCol w:w="1392"/>
        <w:gridCol w:w="1392"/>
        <w:gridCol w:w="1973"/>
      </w:tblGrid>
      <w:tr>
        <w:trPr/>
        <w:tc>
          <w:tcPr>
            <w:tcW w:w="197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10.1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BIOCRYST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AMENDED AND RESTATED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NON-EMPLOYEE DIRECTOR COMPENSATION POLICY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Effective June 1, 2026</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180" w:after="283"/>
        <w:ind w:left="0" w:right="0" w:firstLine="490"/>
        <w:jc w:val="both"/>
        <w:rPr>
          <w:shd w:fill="FFFFFF" w:val="clear"/>
        </w:rPr>
      </w:pPr>
      <w:r>
        <w:rPr>
          <w:rFonts w:ascii="Times New Roman;serif" w:hAnsi="Times New Roman;serif"/>
          <w:b w:val="false"/>
          <w:color w:val="000000"/>
          <w:sz w:val="22"/>
          <w:shd w:fill="FFFFFF" w:val="clear"/>
        </w:rPr>
        <w:t>Each member of the Board of Directors (the “</w:t>
      </w:r>
      <w:r>
        <w:rPr>
          <w:rFonts w:ascii="Times New Roman;serif" w:hAnsi="Times New Roman;serif"/>
          <w:b/>
          <w:i/>
          <w:color w:val="000000"/>
          <w:sz w:val="22"/>
          <w:shd w:fill="FFFFFF" w:val="clear"/>
        </w:rPr>
        <w:t>Board</w:t>
      </w:r>
      <w:r>
        <w:rPr>
          <w:color w:val="000000"/>
          <w:shd w:fill="FFFFFF" w:val="clear"/>
        </w:rPr>
        <w:t>”</w:t>
      </w:r>
      <w:r>
        <w:rPr>
          <w:rFonts w:ascii="Times New Roman;serif" w:hAnsi="Times New Roman;serif"/>
          <w:b w:val="false"/>
          <w:color w:val="000000"/>
          <w:sz w:val="22"/>
          <w:shd w:fill="FFFFFF" w:val="clear"/>
        </w:rPr>
        <w:t>) of BioCryst Pharmaceuticals, Inc. (the “</w:t>
      </w:r>
      <w:r>
        <w:rPr>
          <w:rFonts w:ascii="Times New Roman;serif" w:hAnsi="Times New Roman;serif"/>
          <w:b/>
          <w:i/>
          <w:color w:val="000000"/>
          <w:sz w:val="22"/>
          <w:shd w:fill="FFFFFF" w:val="clear"/>
        </w:rPr>
        <w:t>Company</w:t>
      </w:r>
      <w:r>
        <w:rPr>
          <w:color w:val="000000"/>
          <w:shd w:fill="FFFFFF" w:val="clear"/>
        </w:rPr>
        <w:t>”</w:t>
      </w:r>
      <w:r>
        <w:rPr>
          <w:rFonts w:ascii="Times New Roman;serif" w:hAnsi="Times New Roman;serif"/>
          <w:b w:val="false"/>
          <w:color w:val="000000"/>
          <w:sz w:val="22"/>
          <w:shd w:fill="FFFFFF" w:val="clear"/>
        </w:rPr>
        <w:t>) who is not also serving as an employee of the Company or any of its subsidiaries (each a “</w:t>
      </w:r>
      <w:r>
        <w:rPr>
          <w:rFonts w:ascii="Times New Roman;serif" w:hAnsi="Times New Roman;serif"/>
          <w:b/>
          <w:i/>
          <w:color w:val="000000"/>
          <w:sz w:val="22"/>
          <w:shd w:fill="FFFFFF" w:val="clear"/>
        </w:rPr>
        <w:t>Director</w:t>
      </w:r>
      <w:r>
        <w:rPr>
          <w:color w:val="000000"/>
          <w:shd w:fill="FFFFFF" w:val="clear"/>
        </w:rPr>
        <w:t>”</w:t>
      </w:r>
      <w:r>
        <w:rPr>
          <w:rFonts w:ascii="Times New Roman;serif" w:hAnsi="Times New Roman;serif"/>
          <w:b w:val="false"/>
          <w:color w:val="000000"/>
          <w:sz w:val="22"/>
          <w:shd w:fill="FFFFFF" w:val="clear"/>
        </w:rPr>
        <w:t>) will, automatically and without further action by the Board or the Compensation Committee of the Board (the “</w:t>
      </w:r>
      <w:r>
        <w:rPr>
          <w:rFonts w:ascii="Times New Roman;serif" w:hAnsi="Times New Roman;serif"/>
          <w:b/>
          <w:i/>
          <w:color w:val="000000"/>
          <w:sz w:val="22"/>
          <w:shd w:fill="FFFFFF" w:val="clear"/>
        </w:rPr>
        <w:t>Compensation Committee</w:t>
      </w:r>
      <w:r>
        <w:rPr>
          <w:color w:val="000000"/>
          <w:shd w:fill="FFFFFF" w:val="clear"/>
        </w:rPr>
        <w:t>”</w:t>
      </w:r>
      <w:r>
        <w:rPr>
          <w:rFonts w:ascii="Times New Roman;serif" w:hAnsi="Times New Roman;serif"/>
          <w:b w:val="false"/>
          <w:color w:val="000000"/>
          <w:sz w:val="22"/>
          <w:shd w:fill="FFFFFF" w:val="clear"/>
        </w:rPr>
        <w:t>), receive the compensation described in this Non-Employee Director Compensation Policy (this “</w:t>
      </w:r>
      <w:r>
        <w:rPr>
          <w:rFonts w:ascii="Times New Roman;serif" w:hAnsi="Times New Roman;serif"/>
          <w:b/>
          <w:i/>
          <w:color w:val="000000"/>
          <w:sz w:val="22"/>
          <w:shd w:fill="FFFFFF" w:val="clear"/>
        </w:rPr>
        <w:t>Policy</w:t>
      </w:r>
      <w:r>
        <w:rPr>
          <w:color w:val="000000"/>
          <w:shd w:fill="FFFFFF" w:val="clear"/>
        </w:rPr>
        <w:t>”</w:t>
      </w:r>
      <w:r>
        <w:rPr>
          <w:rFonts w:ascii="Times New Roman;serif" w:hAnsi="Times New Roman;serif"/>
          <w:b w:val="false"/>
          <w:color w:val="000000"/>
          <w:sz w:val="22"/>
          <w:shd w:fill="FFFFFF" w:val="clear"/>
        </w:rPr>
        <w:t xml:space="preserve">). A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at the recommendation of the Board. </w:t>
      </w:r>
    </w:p>
    <w:p>
      <w:pPr>
        <w:pStyle w:val="TextBody"/>
        <w:bidi w:val="0"/>
        <w:spacing w:lineRule="auto" w:line="288" w:before="27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Annual Cash Retainer </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Each Director will automatically, and without further action by the Board or Compensation Committee, receive cash compensation solely in the form of annual retainers, as set forth in the table below. The annual retainer amounts are payable in four equal installment payments paid in arrears on a quarterly basis. The annual retainer amount will be pro-rated for a Director who joins the Board or a committee other than at the beginning of the applicable quarter. </w:t>
      </w:r>
    </w:p>
    <w:p>
      <w:pPr>
        <w:pStyle w:val="TextBody"/>
        <w:bidi w:val="0"/>
        <w:spacing w:before="0" w:after="0"/>
        <w:ind w:left="0" w:right="0" w:firstLine="490"/>
        <w:jc w:val="both"/>
        <w:rPr/>
      </w:pPr>
      <w:r>
        <w:rPr/>
      </w:r>
    </w:p>
    <w:tbl>
      <w:tblPr>
        <w:tblW w:w="6615" w:type="dxa"/>
        <w:jc w:val="left"/>
        <w:tblInd w:w="0" w:type="dxa"/>
        <w:tblLayout w:type="fixed"/>
        <w:tblCellMar>
          <w:top w:w="28" w:type="dxa"/>
          <w:left w:w="28" w:type="dxa"/>
          <w:bottom w:w="28" w:type="dxa"/>
          <w:right w:w="28" w:type="dxa"/>
        </w:tblCellMar>
      </w:tblPr>
      <w:tblGrid>
        <w:gridCol w:w="2061"/>
        <w:gridCol w:w="1807"/>
        <w:gridCol w:w="1816"/>
        <w:gridCol w:w="272"/>
        <w:gridCol w:w="272"/>
        <w:gridCol w:w="387"/>
      </w:tblGrid>
      <w:tr>
        <w:trPr/>
        <w:tc>
          <w:tcPr>
            <w:tcW w:w="206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Board Retainers</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Annual Retainer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Additional Retainer for Board Chair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$40,000</w:t>
            </w:r>
          </w:p>
        </w:tc>
      </w:tr>
      <w:tr>
        <w:trPr/>
        <w:tc>
          <w:tcPr>
            <w:tcW w:w="5684" w:type="dxa"/>
            <w:gridSpan w:val="3"/>
            <w:tcBorders/>
            <w:tcMar>
              <w:top w:w="0" w:type="dxa"/>
              <w:left w:w="0" w:type="dxa"/>
              <w:bottom w:w="0" w:type="dxa"/>
              <w:right w:w="0" w:type="dxa"/>
            </w:tcMar>
            <w:vAlign w:val="center"/>
          </w:tcPr>
          <w:p>
            <w:pPr>
              <w:pStyle w:val="TableContents"/>
              <w:bidi w:val="0"/>
              <w:spacing w:before="100" w:after="100"/>
              <w:ind w:left="0" w:right="0" w:hanging="240"/>
              <w:jc w:val="left"/>
              <w:rPr/>
            </w:pPr>
            <w:r>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Additional Retainers - Committee Chairs</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Audit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Commercialization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Compensation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$25,000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Governance and Nominating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Finance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Science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684" w:type="dxa"/>
            <w:gridSpan w:val="3"/>
            <w:tcBorders/>
            <w:tcMar>
              <w:top w:w="0" w:type="dxa"/>
              <w:left w:w="0" w:type="dxa"/>
              <w:bottom w:w="0" w:type="dxa"/>
              <w:right w:w="0" w:type="dxa"/>
            </w:tcMar>
            <w:vAlign w:val="center"/>
          </w:tcPr>
          <w:p>
            <w:pPr>
              <w:pStyle w:val="TableContents"/>
              <w:bidi w:val="0"/>
              <w:spacing w:before="100" w:after="100"/>
              <w:ind w:left="0" w:right="0" w:hanging="240"/>
              <w:jc w:val="left"/>
              <w:rPr/>
            </w:pPr>
            <w:r>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Additional Retainers – Committee Members (Non-Chair)</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Audit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Commercialization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Compensation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$12,500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Corporate Governance and Nominating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$5,000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Finance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$7,500</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Science Committee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$7,500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ind w:left="0" w:right="0" w:firstLine="540"/>
        <w:jc w:val="both"/>
        <w:rPr>
          <w:shd w:fill="FFFFFF" w:val="clear"/>
        </w:rPr>
      </w:pPr>
      <w:r>
        <w:rPr>
          <w:rFonts w:ascii="Times New Roman;serif" w:hAnsi="Times New Roman;serif"/>
          <w:b w:val="false"/>
          <w:color w:val="000000"/>
          <w:sz w:val="22"/>
          <w:shd w:fill="FFFFFF" w:val="clear"/>
        </w:rPr>
        <w:t>Each Director will be given the opportunity to elect to receive, in lieu of cash retainers, a number of shares of the Company’s common stock (“</w:t>
      </w:r>
      <w:r>
        <w:rPr>
          <w:rFonts w:ascii="Times New Roman;serif" w:hAnsi="Times New Roman;serif"/>
          <w:b/>
          <w:i/>
          <w:color w:val="000000"/>
          <w:sz w:val="22"/>
          <w:shd w:fill="FFFFFF" w:val="clear"/>
        </w:rPr>
        <w:t>Common Stock</w:t>
      </w:r>
      <w:r>
        <w:rPr>
          <w:color w:val="000000"/>
          <w:shd w:fill="FFFFFF" w:val="clear"/>
        </w:rPr>
        <w:t>”</w:t>
      </w:r>
      <w:r>
        <w:rPr>
          <w:rFonts w:ascii="Times New Roman;serif" w:hAnsi="Times New Roman;serif"/>
          <w:b w:val="false"/>
          <w:color w:val="000000"/>
          <w:sz w:val="22"/>
          <w:shd w:fill="FFFFFF" w:val="clear"/>
        </w:rPr>
        <w:t>) equivalent in value to the retainer earned by such Director (excluding any committee retainers). Each Director may elect to receive either 50% or 100% of his or her cash retainer(s) (excluding any committee retainers) in the form of Common Stock. These shares will be distributed four times a year, in line with the quarterly cash retainer payments. The number of shares to be distributed will be determined using the closing price of Common Stock on the last business day of the applicable three-month period. Elections to receive shares of Common Stock in lieu of cash retainers for a year shall be made as of the beginning of the month in which each annual meeting of the Company’s stockholders occurs, effective through the end of the month in which the subsequent annual meeting occurs.</w:t>
      </w:r>
    </w:p>
    <w:p>
      <w:pPr>
        <w:pStyle w:val="TextBody"/>
        <w:bidi w:val="0"/>
        <w:spacing w:lineRule="auto" w:line="288" w:before="27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Equity Compensation </w:t>
      </w:r>
    </w:p>
    <w:p>
      <w:pPr>
        <w:pStyle w:val="TextBody"/>
        <w:bidi w:val="0"/>
        <w:spacing w:before="0" w:after="0"/>
        <w:jc w:val="left"/>
        <w:rPr/>
      </w:pPr>
      <w:r>
        <w:rPr/>
      </w:r>
    </w:p>
    <w:p>
      <w:pPr>
        <w:pStyle w:val="TextBody"/>
        <w:bidi w:val="0"/>
        <w:spacing w:lineRule="auto" w:line="288" w:before="0" w:after="0"/>
        <w:ind w:left="0" w:right="0" w:firstLine="490"/>
        <w:jc w:val="both"/>
        <w:rPr>
          <w:shd w:fill="FFFFFF" w:val="clear"/>
        </w:rPr>
      </w:pPr>
      <w:r>
        <w:rPr>
          <w:rFonts w:ascii="Times New Roman;serif" w:hAnsi="Times New Roman;serif"/>
          <w:b w:val="false"/>
          <w:color w:val="000000"/>
          <w:sz w:val="22"/>
          <w:shd w:fill="FFFFFF" w:val="clear"/>
        </w:rPr>
        <w:t>The equity compensation set forth below will be granted under the BioCryst Pharmaceuticals, Inc. Stock Incentive Plan, as amended (the “</w:t>
      </w:r>
      <w:r>
        <w:rPr>
          <w:rFonts w:ascii="Times New Roman;serif" w:hAnsi="Times New Roman;serif"/>
          <w:b/>
          <w:i/>
          <w:color w:val="000000"/>
          <w:sz w:val="22"/>
          <w:shd w:fill="FFFFFF" w:val="clear"/>
        </w:rPr>
        <w:t>Plan</w:t>
      </w:r>
      <w:r>
        <w:rPr>
          <w:color w:val="000000"/>
          <w:shd w:fill="FFFFFF" w:val="clear"/>
        </w:rPr>
        <w:t>”</w:t>
      </w:r>
      <w:r>
        <w:rPr>
          <w:rFonts w:ascii="Times New Roman;serif" w:hAnsi="Times New Roman;serif"/>
          <w:b w:val="false"/>
          <w:color w:val="000000"/>
          <w:sz w:val="22"/>
          <w:shd w:fill="FFFFFF" w:val="clear"/>
        </w:rPr>
        <w:t xml:space="preserve">). Capitalized terms not defined herein have the meaning specified in the Plan. All stock options granted under this Policy will be non-statutory stock options, with an exercise price per share equal to 100% of the fair market value per share of the Common Stock on the Grant Date, and a term of 10 years from the date of grant (subject to earlier termination in connection with a termination of service as provided in the award agreement). </w:t>
      </w:r>
    </w:p>
    <w:p>
      <w:pPr>
        <w:pStyle w:val="TextBody"/>
        <w:bidi w:val="0"/>
        <w:spacing w:before="0" w:after="0"/>
        <w:ind w:left="0" w:right="0" w:firstLine="490"/>
        <w:jc w:val="both"/>
        <w:rPr/>
      </w:pPr>
      <w:r>
        <w:rPr/>
      </w:r>
    </w:p>
    <w:p>
      <w:pPr>
        <w:pStyle w:val="TextBody"/>
        <w:bidi w:val="0"/>
        <w:spacing w:lineRule="auto" w:line="288" w:before="0" w:after="0"/>
        <w:ind w:left="0" w:right="0" w:hanging="360"/>
        <w:jc w:val="both"/>
        <w:rPr>
          <w:shd w:fill="FFFFFF" w:val="clear"/>
        </w:rPr>
      </w:pPr>
      <w:r>
        <w:rPr>
          <w:rFonts w:ascii="Times New Roman;serif" w:hAnsi="Times New Roman;serif"/>
          <w:b w:val="false"/>
          <w:color w:val="000000"/>
          <w:sz w:val="22"/>
          <w:shd w:fill="FFFFFF" w:val="clear"/>
        </w:rPr>
        <w:t>1.</w:t>
      </w:r>
      <w:r>
        <w:rPr>
          <w:rFonts w:ascii="Times New Roman;serif" w:hAnsi="Times New Roman;serif"/>
          <w:b w:val="false"/>
          <w:color w:val="000000"/>
          <w:sz w:val="22"/>
          <w:u w:val="single"/>
          <w:shd w:fill="FFFFFF" w:val="clear"/>
        </w:rPr>
        <w:t>Initial Grant</w:t>
      </w:r>
      <w:r>
        <w:rPr>
          <w:rFonts w:ascii="Times New Roman;serif" w:hAnsi="Times New Roman;serif"/>
          <w:b w:val="false"/>
          <w:color w:val="000000"/>
          <w:sz w:val="22"/>
          <w:shd w:fill="FFFFFF" w:val="clear"/>
        </w:rPr>
        <w:t>: Each individual who first becomes a Director on or after the effective date of this Policy shall be granted on the date of initial election or appointment awards with an aggregate dollar value (based on the aggregate accounting value on the date of grant) of up to the product of (i) $500,000 and (ii) a fraction, the numerator of which is the number of months (rounded to the nearest whole number) remaining between the date such Board member first became a non-employee Board member and the Company’s next scheduled Annual Stockholders Meeting (or the one year anniversary of the most recent Annual Stockholders Meeting if the next Annual Stockholders Meeting has not yet been scheduled), and the denominator of which is 12. Such award shall be made 60% in the form of non-statutory options and 40% in restricted stock units (“RSUs”). Subject to the proviso in Section VI of Article One of the Plan, (i) such option grant shall vest and become exercisable for the option shares in 36 equal monthly installments over a 3-year period measured from the grant date, and (ii) such RSUs shall vest in three equal annual installments beginning on the twelve (12)-month anniversary of the grant date.</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rFonts w:ascii="Times New Roman;serif" w:hAnsi="Times New Roman;serif"/>
          <w:b w:val="false"/>
          <w:color w:val="000000"/>
          <w:sz w:val="22"/>
          <w:shd w:fill="FFFFFF" w:val="clear"/>
        </w:rPr>
        <w:t>2.</w:t>
      </w:r>
      <w:r>
        <w:rPr>
          <w:rFonts w:ascii="Times New Roman;serif" w:hAnsi="Times New Roman;serif"/>
          <w:b w:val="false"/>
          <w:color w:val="000000"/>
          <w:sz w:val="22"/>
          <w:u w:val="single"/>
          <w:shd w:fill="FFFFFF" w:val="clear"/>
        </w:rPr>
        <w:t>Annual Grant</w:t>
      </w:r>
      <w:r>
        <w:rPr>
          <w:rFonts w:ascii="Times New Roman;serif" w:hAnsi="Times New Roman;serif"/>
          <w:b w:val="false"/>
          <w:color w:val="000000"/>
          <w:sz w:val="22"/>
          <w:shd w:fill="FFFFFF" w:val="clear"/>
        </w:rPr>
        <w:t>: Immediately following each Annual Stockholders Meeting of the Company, each individual who is then serving as a Director (except for those individuals first elected or appointed to serve as non-employee Board members at such meeting or as of such date), shall be granted awards with an aggregate dollar value (based on the aggregate accounting value on the date of grant) of $325,000. Such award shall be made 60% in the form of non-statutory options and 40% in RSUs. Subject to the proviso in Section VI of Article One of the Plan, such option grant shall vest and become exercisable for the option shares, and such grant of RSUs shall vest, on the twelve (12)-month anniversary of the grant date.</w:t>
      </w:r>
    </w:p>
    <w:p>
      <w:pPr>
        <w:pStyle w:val="TextBody"/>
        <w:bidi w:val="0"/>
        <w:spacing w:before="0" w:after="0"/>
        <w:jc w:val="both"/>
        <w:rPr/>
      </w:pPr>
      <w:r>
        <w:rPr/>
      </w:r>
    </w:p>
    <w:p>
      <w:pPr>
        <w:pStyle w:val="TextBody"/>
        <w:bidi w:val="0"/>
        <w:spacing w:lineRule="auto" w:line="288"/>
        <w:ind w:left="0" w:right="0" w:firstLine="5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Should the grantee cease to serve as a Board member for any reason while holding one or more vested option grants under this Director Compensation Policy, then such grantee shall have the remainder of the ten (10) year term of each such option in which to exercise each such vested option for any or all of the shares of Common Stock for which the option is exercisable at the time of such cessation of Board service. Each such unvested option shall immediately terminate and cease to be outstanding, at the time of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such cessation of Board service, with respect to any shares for which the option is not otherwise at that time exercisable. Upon the expiration of the ten (10)-year option term, the grant shall terminate and cease to be outstanding in its entirety. Upon the death of the grantee, whether before or after cessation of Board service, any option held by grantee at the time of grantee’s death may be exercised, for any or all of the shares of Common Stock for which the option was vested and exercisable at the time of cessation of Board service by the grantee and which have not been theretofore exercised by the grantee, by the personal representative of the grantee’s estate or by the person or persons to whom the option is transferred pursuant to the grantee’s will or in accordance with the laws of descent and distribution. Any such exercise must occur during the remainder of the ten (10) year term of such 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Reimbursement of Expenses </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Upon presentation of documentation of such expenses reasonably satisfactory to the Company, each Director is entitled to be reimbursed for reasonable travel and other expenses incurred in connection with attending meetings of the Board and any Committee of the Board on which he or she serves and while representing the Company in conducting certain business. </w:t>
      </w:r>
    </w:p>
    <w:p>
      <w:pPr>
        <w:pStyle w:val="TextBody"/>
        <w:bidi w:val="0"/>
        <w:spacing w:before="180" w:after="283"/>
        <w:ind w:left="0" w:right="0" w:firstLine="49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Charles Gayer,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49"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266"/>
        <w:gridCol w:w="266"/>
        <w:gridCol w:w="266"/>
        <w:gridCol w:w="266"/>
        <w:gridCol w:w="266"/>
        <w:gridCol w:w="266"/>
        <w:gridCol w:w="266"/>
        <w:gridCol w:w="266"/>
        <w:gridCol w:w="376"/>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5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48"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563"/>
        <w:gridCol w:w="563"/>
        <w:gridCol w:w="563"/>
        <w:gridCol w:w="563"/>
        <w:gridCol w:w="563"/>
        <w:gridCol w:w="563"/>
        <w:gridCol w:w="563"/>
        <w:gridCol w:w="563"/>
        <w:gridCol w:w="79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5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June 30, 2026, as filed with the Securities and Exchange Commission on the date hereof (the “Report”), I, Charles Gayer,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828" w:type="dxa"/>
        <w:jc w:val="left"/>
        <w:tblInd w:w="0" w:type="dxa"/>
        <w:tblLayout w:type="fixed"/>
        <w:tblCellMar>
          <w:top w:w="28" w:type="dxa"/>
          <w:left w:w="28" w:type="dxa"/>
          <w:bottom w:w="28" w:type="dxa"/>
          <w:right w:w="28" w:type="dxa"/>
        </w:tblCellMar>
      </w:tblPr>
      <w:tblGrid>
        <w:gridCol w:w="307"/>
        <w:gridCol w:w="271"/>
        <w:gridCol w:w="271"/>
        <w:gridCol w:w="271"/>
        <w:gridCol w:w="271"/>
        <w:gridCol w:w="271"/>
        <w:gridCol w:w="271"/>
        <w:gridCol w:w="271"/>
        <w:gridCol w:w="271"/>
        <w:gridCol w:w="109"/>
        <w:gridCol w:w="109"/>
        <w:gridCol w:w="109"/>
        <w:gridCol w:w="109"/>
        <w:gridCol w:w="109"/>
        <w:gridCol w:w="109"/>
        <w:gridCol w:w="109"/>
        <w:gridCol w:w="109"/>
        <w:gridCol w:w="109"/>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June 30, 2026,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302" w:type="dxa"/>
        <w:jc w:val="left"/>
        <w:tblInd w:w="0" w:type="dxa"/>
        <w:tblLayout w:type="fixed"/>
        <w:tblCellMar>
          <w:top w:w="28" w:type="dxa"/>
          <w:left w:w="28" w:type="dxa"/>
          <w:bottom w:w="28" w:type="dxa"/>
          <w:right w:w="28" w:type="dxa"/>
        </w:tblCellMar>
      </w:tblPr>
      <w:tblGrid>
        <w:gridCol w:w="660"/>
        <w:gridCol w:w="577"/>
        <w:gridCol w:w="577"/>
        <w:gridCol w:w="577"/>
        <w:gridCol w:w="577"/>
        <w:gridCol w:w="577"/>
        <w:gridCol w:w="577"/>
        <w:gridCol w:w="577"/>
        <w:gridCol w:w="577"/>
        <w:gridCol w:w="109"/>
        <w:gridCol w:w="109"/>
        <w:gridCol w:w="109"/>
        <w:gridCol w:w="109"/>
        <w:gridCol w:w="109"/>
        <w:gridCol w:w="109"/>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796/000103570406000836/d42297exv3w1.htm" TargetMode="External"/><Relationship Id="rId3" Type="http://schemas.openxmlformats.org/officeDocument/2006/relationships/hyperlink" Target="https://www.sec.gov/Archives/edgar/data/882796/000136231007001386/c70813exv3w1.htm" TargetMode="External"/><Relationship Id="rId4" Type="http://schemas.openxmlformats.org/officeDocument/2006/relationships/hyperlink" Target="https://www.sec.gov/Archives/edgar/data/882796/000119312514186707/d722313dex31.htm" TargetMode="External"/><Relationship Id="rId5" Type="http://schemas.openxmlformats.org/officeDocument/2006/relationships/hyperlink" Target="https://www.sec.gov/Archives/edgar/data/882796/000117184320003680/exh_31.htm" TargetMode="External"/><Relationship Id="rId6" Type="http://schemas.openxmlformats.org/officeDocument/2006/relationships/hyperlink" Target="http://www.sec.gov/Archives/edgar/data/882796/000117184320003680/exh_32.htm" TargetMode="External"/><Relationship Id="rId7" Type="http://schemas.openxmlformats.org/officeDocument/2006/relationships/hyperlink" Target="https://www.sec.gov/Archives/edgar/data/882796/000117184320003680/exh_32.htm" TargetMode="External"/><Relationship Id="rId8" Type="http://schemas.openxmlformats.org/officeDocument/2006/relationships/hyperlink" Target="https://www.sec.gov/Archives/edgar/data/882796/000117184324000297/exh_31.htm" TargetMode="External"/><Relationship Id="rId9" Type="http://schemas.openxmlformats.org/officeDocument/2006/relationships/hyperlink" Target="https://www.sec.gov/Archives/edgar/data/882796/000162828026031238/exhibit103-finalsmenonempl.htm" TargetMode="External"/><Relationship Id="rId10" Type="http://schemas.openxmlformats.org/officeDocument/2006/relationships/hyperlink" Target="https://www.sec.gov/Archives/edgar/data/882796/000162828026031238/exhibit103-finalsmenonempl.htm" TargetMode="External"/><Relationship Id="rId11" Type="http://schemas.openxmlformats.org/officeDocument/2006/relationships/hyperlink" Target="https://www.sec.gov/Archives/edgar/data/882796/000162828026031238/exhibit103-finalsmenonempl.htm" TargetMode="External"/><Relationship Id="rId12" Type="http://schemas.openxmlformats.org/officeDocument/2006/relationships/hyperlink" Target="https://www.sec.gov/Archives/edgar/data/882796/000162828026031238/exhibit103-finalsmenonempl.htm" TargetMode="External"/><Relationship Id="rId13" Type="http://schemas.openxmlformats.org/officeDocument/2006/relationships/hyperlink" Target="https://www.sec.gov/Archives/edgar/data/882796/000162828026031238/exhibit103-finalsmenonempl.htm" TargetMode="External"/><Relationship Id="rId14" Type="http://schemas.openxmlformats.org/officeDocument/2006/relationships/hyperlink" Target="https://www.sec.gov/Archives/edgar/data/882796/000162828026031238/exhibit103-finalsmenonempl.htm" TargetMode="External"/><Relationship Id="rId15" Type="http://schemas.openxmlformats.org/officeDocument/2006/relationships/hyperlink" Target="https://www.sec.gov/Archives/edgar/data/882796/000117184326004096/exh_101.htm" TargetMode="External"/><Relationship Id="rId16" Type="http://schemas.openxmlformats.org/officeDocument/2006/relationships/hyperlink" Target="https://www.sec.gov/Archives/edgar/data/882796/000117184326004096/exh_101.htm" TargetMode="External"/><Relationship Id="rId17" Type="http://schemas.openxmlformats.org/officeDocument/2006/relationships/hyperlink" Target="https://www.sec.gov/Archives/edgar/data/882796/000117184326004096/exh_101.htm" TargetMode="External"/><Relationship Id="rId18" Type="http://schemas.openxmlformats.org/officeDocument/2006/relationships/hyperlink" Target="https://www.sec.gov/Archives/edgar/data/882796/000117184326004096/exh_101.htm" TargetMode="External"/><Relationship Id="rId19" Type="http://schemas.openxmlformats.org/officeDocument/2006/relationships/hyperlink" Target="https://www.sec.gov/Archives/edgar/data/882796/000117184326004096/exh_101.htm" TargetMode="External"/><Relationship Id="rId20" Type="http://schemas.openxmlformats.org/officeDocument/2006/relationships/hyperlink" Target="https://www.sec.gov/Archives/edgar/data/882796/000117184326004096/exh_101.htm" TargetMode="External"/><Relationship Id="rId21" Type="http://schemas.openxmlformats.org/officeDocument/2006/relationships/hyperlink" Target="https://www.sec.gov/Archives/edgar/data/882796/000117184326004096/exh_101.htm" TargetMode="External"/><Relationship Id="rId22" Type="http://schemas.openxmlformats.org/officeDocument/2006/relationships/hyperlink" Target="https://www.sec.gov/Archives/edgar/data/882796/000117184326004096/exh_10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56738</Words>
  <Characters>321728</Characters>
  <CharactersWithSpaces>376659</CharactersWithSpaces>
  <Paragraphs>3236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