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20"/>
        </w:rPr>
      </w:pPr>
      <w:bookmarkStart w:id="0" w:name="fs8_080426.htm"/>
      <w:bookmarkStart w:id="1" w:name="ksfs8_080426"/>
      <w:bookmarkEnd w:id="0"/>
      <w:bookmarkEnd w:id="1"/>
      <w:r>
        <w:rPr>
          <w:b/>
          <w:sz w:val="20"/>
        </w:rPr>
        <w:t>As filed with the Securities and Exchange Commission on August 5, 2026</w:t>
      </w:r>
    </w:p>
    <w:p>
      <w:pPr>
        <w:pStyle w:val="TextBody"/>
        <w:bidi w:val="0"/>
        <w:spacing w:before="0" w:after="0"/>
        <w:jc w:val="left"/>
        <w:rPr/>
      </w:pPr>
      <w:r>
        <w:rPr/>
        <w:t> </w:t>
      </w:r>
    </w:p>
    <w:p>
      <w:pPr>
        <w:pStyle w:val="TextBody"/>
        <w:bidi w:val="0"/>
        <w:spacing w:before="0" w:after="0"/>
        <w:jc w:val="right"/>
        <w:rPr>
          <w:b/>
          <w:sz w:val="20"/>
        </w:rPr>
      </w:pPr>
      <w:r>
        <w:rPr>
          <w:b/>
          <w:sz w:val="20"/>
        </w:rPr>
        <w:t xml:space="preserve">Registration No. 333- </w:t>
      </w:r>
    </w:p>
    <w:p>
      <w:pPr>
        <w:pStyle w:val="TextBody"/>
        <w:bidi w:val="0"/>
        <w:spacing w:before="0" w:after="0"/>
        <w:ind w:left="0" w:right="0" w:hanging="0"/>
        <w:jc w:val="center"/>
        <w:rPr>
          <w:caps/>
        </w:rPr>
      </w:pPr>
      <w:r>
        <w:rPr>
          <w:caps/>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UNITED STATES</w:t>
        <w:b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FORM S-8</w:t>
      </w:r>
    </w:p>
    <w:p>
      <w:pPr>
        <w:pStyle w:val="TextBody"/>
        <w:bidi w:val="0"/>
        <w:spacing w:before="0" w:after="0"/>
        <w:ind w:left="0" w:right="0" w:hanging="0"/>
        <w:jc w:val="center"/>
        <w:rPr>
          <w:b/>
          <w:caps/>
          <w:sz w:val="20"/>
        </w:rPr>
      </w:pPr>
      <w:r>
        <w:rPr>
          <w:b/>
          <w:caps/>
          <w:sz w:val="20"/>
        </w:rPr>
        <w:t>REGISTRATION STATEMENT UNDER THE SECURITIES ACT OF 1933</w:t>
      </w:r>
    </w:p>
    <w:p>
      <w:pPr>
        <w:pStyle w:val="TextBody"/>
        <w:bidi w:val="0"/>
        <w:spacing w:before="0" w:after="0"/>
        <w:ind w:left="0" w:right="0" w:hanging="0"/>
        <w:jc w:val="center"/>
        <w:rPr>
          <w:caps/>
        </w:rPr>
      </w:pPr>
      <w:r>
        <w:rPr>
          <w:caps/>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BIOCRYST PHARMACEUTICALS, INC.</w:t>
      </w:r>
    </w:p>
    <w:p>
      <w:pPr>
        <w:pStyle w:val="TextBody"/>
        <w:bidi w:val="0"/>
        <w:spacing w:before="0" w:after="0"/>
        <w:ind w:left="0" w:right="0" w:hanging="0"/>
        <w:jc w:val="center"/>
        <w:rPr>
          <w:i/>
          <w:sz w:val="20"/>
        </w:rPr>
      </w:pPr>
      <w:r>
        <w:rPr>
          <w:i/>
          <w:sz w:val="20"/>
        </w:rPr>
        <w:t>(Exact Name of Registrant as Specified in its Charter)</w:t>
      </w:r>
    </w:p>
    <w:p>
      <w:pPr>
        <w:pStyle w:val="TextBody"/>
        <w:bidi w:val="0"/>
        <w:spacing w:before="0" w:after="0"/>
        <w:ind w:left="0" w:right="0" w:firstLine="216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firstLine="2160"/>
        <w:jc w:val="center"/>
        <w:rPr/>
      </w:pPr>
      <w:r>
        <w:rPr/>
        <w:t> </w:t>
      </w:r>
    </w:p>
    <w:tbl>
      <w:tblPr>
        <w:tblW w:w="6250" w:type="dxa"/>
        <w:jc w:val="left"/>
        <w:tblInd w:w="0" w:type="dxa"/>
        <w:tblLayout w:type="fixed"/>
        <w:tblCellMar>
          <w:top w:w="0" w:type="dxa"/>
          <w:left w:w="0" w:type="dxa"/>
          <w:bottom w:w="0" w:type="dxa"/>
          <w:right w:w="0" w:type="dxa"/>
        </w:tblCellMar>
      </w:tblPr>
      <w:tblGrid>
        <w:gridCol w:w="3290"/>
        <w:gridCol w:w="60"/>
        <w:gridCol w:w="2900"/>
      </w:tblGrid>
      <w:tr>
        <w:trPr/>
        <w:tc>
          <w:tcPr>
            <w:tcW w:w="3290"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b/>
                <w:sz w:val="20"/>
              </w:rPr>
            </w:pPr>
            <w:r>
              <w:rPr>
                <w:b/>
                <w:sz w:val="20"/>
              </w:rPr>
              <w:t>62-1413174</w:t>
            </w:r>
          </w:p>
        </w:tc>
      </w:tr>
      <w:tr>
        <w:trPr/>
        <w:tc>
          <w:tcPr>
            <w:tcW w:w="3290" w:type="dxa"/>
            <w:tcBorders/>
            <w:vAlign w:val="center"/>
          </w:tcPr>
          <w:p>
            <w:pPr>
              <w:pStyle w:val="TableContents"/>
              <w:bidi w:val="0"/>
              <w:spacing w:before="0" w:after="283"/>
              <w:jc w:val="center"/>
              <w:rPr>
                <w:i/>
                <w:sz w:val="20"/>
              </w:rPr>
            </w:pPr>
            <w:r>
              <w:rPr>
                <w:i/>
                <w:sz w:val="20"/>
              </w:rPr>
              <w:t>(State of Incorporation)</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i/>
                <w:sz w:val="20"/>
              </w:rPr>
            </w:pPr>
            <w:r>
              <w:rPr>
                <w:i/>
                <w:sz w:val="20"/>
              </w:rPr>
              <w:t>(I.R.S. Employer Identification No.)</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0"/>
              <w:ind w:left="0" w:right="0" w:hanging="0"/>
              <w:jc w:val="center"/>
              <w:rPr>
                <w:b/>
                <w:sz w:val="20"/>
              </w:rPr>
            </w:pPr>
            <w:r>
              <w:rPr>
                <w:b/>
                <w:sz w:val="20"/>
              </w:rPr>
              <w:t>4505 Emperor Blvd., Suite 200</w:t>
            </w:r>
          </w:p>
          <w:p>
            <w:pPr>
              <w:pStyle w:val="TableContents"/>
              <w:bidi w:val="0"/>
              <w:spacing w:before="0" w:after="0"/>
              <w:ind w:left="0" w:right="0" w:hanging="0"/>
              <w:jc w:val="center"/>
              <w:rPr>
                <w:b/>
                <w:sz w:val="20"/>
              </w:rPr>
            </w:pPr>
            <w:r>
              <w:rPr>
                <w:b/>
                <w:sz w:val="20"/>
              </w:rPr>
              <w:t>Durham, North Carolina</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pPr>
            <w:r>
              <w:rPr/>
              <w:br/>
            </w:r>
            <w:r>
              <w:rPr>
                <w:b/>
                <w:sz w:val="20"/>
              </w:rPr>
              <w:t>27703</w:t>
            </w:r>
          </w:p>
        </w:tc>
      </w:tr>
      <w:tr>
        <w:trPr/>
        <w:tc>
          <w:tcPr>
            <w:tcW w:w="3290" w:type="dxa"/>
            <w:tcBorders/>
            <w:vAlign w:val="center"/>
          </w:tcPr>
          <w:p>
            <w:pPr>
              <w:pStyle w:val="TableContents"/>
              <w:bidi w:val="0"/>
              <w:spacing w:before="0" w:after="283"/>
              <w:jc w:val="center"/>
              <w:rPr>
                <w:i/>
                <w:sz w:val="20"/>
              </w:rPr>
            </w:pPr>
            <w:r>
              <w:rPr>
                <w:i/>
                <w:sz w:val="20"/>
              </w:rPr>
              <w:t>(Address of Principal Executive Offices)</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i/>
                <w:sz w:val="20"/>
              </w:rPr>
            </w:pPr>
            <w:r>
              <w:rPr>
                <w:i/>
                <w:sz w:val="20"/>
              </w:rPr>
              <w:t>(Zip Code)</w:t>
            </w:r>
          </w:p>
        </w:tc>
      </w:tr>
    </w:tbl>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BioCryst Pharmaceuticals, Inc. Stock Incentive Plan</w:t>
      </w:r>
    </w:p>
    <w:p>
      <w:pPr>
        <w:pStyle w:val="TextBody"/>
        <w:bidi w:val="0"/>
        <w:spacing w:before="0" w:after="0"/>
        <w:ind w:left="0" w:right="0" w:hanging="0"/>
        <w:jc w:val="center"/>
        <w:rPr>
          <w:b/>
          <w:sz w:val="20"/>
        </w:rPr>
      </w:pPr>
      <w:r>
        <w:rPr>
          <w:b/>
          <w:sz w:val="20"/>
        </w:rPr>
        <w:t>(as Amended and Restated as of April 20, 2026)</w:t>
      </w:r>
    </w:p>
    <w:p>
      <w:pPr>
        <w:pStyle w:val="TextBody"/>
        <w:bidi w:val="0"/>
        <w:spacing w:before="0" w:after="0"/>
        <w:ind w:left="0" w:right="0" w:hanging="0"/>
        <w:jc w:val="center"/>
        <w:rPr>
          <w:i/>
          <w:sz w:val="20"/>
        </w:rPr>
      </w:pPr>
      <w:r>
        <w:rPr>
          <w:i/>
          <w:sz w:val="20"/>
        </w:rPr>
        <w:t>(Full Title of the Plan)</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Charles Gayer</w:t>
      </w:r>
    </w:p>
    <w:p>
      <w:pPr>
        <w:pStyle w:val="TextBody"/>
        <w:bidi w:val="0"/>
        <w:spacing w:before="0" w:after="0"/>
        <w:ind w:left="0" w:right="0" w:hanging="0"/>
        <w:jc w:val="center"/>
        <w:rPr>
          <w:b/>
          <w:sz w:val="20"/>
        </w:rPr>
      </w:pPr>
      <w:r>
        <w:rPr>
          <w:b/>
          <w:sz w:val="20"/>
        </w:rPr>
        <w:t>Chief Executive Officer</w:t>
      </w:r>
    </w:p>
    <w:p>
      <w:pPr>
        <w:pStyle w:val="TextBody"/>
        <w:bidi w:val="0"/>
        <w:spacing w:before="0" w:after="0"/>
        <w:ind w:left="0" w:right="0" w:hanging="0"/>
        <w:jc w:val="center"/>
        <w:rPr>
          <w:b/>
          <w:sz w:val="20"/>
        </w:rPr>
      </w:pPr>
      <w:r>
        <w:rPr>
          <w:b/>
          <w:sz w:val="20"/>
        </w:rPr>
        <w:t>BioCryst Pharmaceuticals, Inc.</w:t>
      </w:r>
    </w:p>
    <w:p>
      <w:pPr>
        <w:pStyle w:val="TextBody"/>
        <w:bidi w:val="0"/>
        <w:spacing w:before="0" w:after="0"/>
        <w:ind w:left="0" w:right="0" w:hanging="0"/>
        <w:jc w:val="center"/>
        <w:rPr>
          <w:b/>
          <w:sz w:val="20"/>
        </w:rPr>
      </w:pPr>
      <w:r>
        <w:rPr>
          <w:b/>
          <w:sz w:val="20"/>
        </w:rPr>
        <w:t>4505 Emperor Blvd., Suite 200</w:t>
      </w:r>
    </w:p>
    <w:p>
      <w:pPr>
        <w:pStyle w:val="TextBody"/>
        <w:bidi w:val="0"/>
        <w:spacing w:before="0" w:after="0"/>
        <w:ind w:left="0" w:right="0" w:hanging="0"/>
        <w:jc w:val="center"/>
        <w:rPr>
          <w:b/>
          <w:sz w:val="20"/>
        </w:rPr>
      </w:pPr>
      <w:r>
        <w:rPr>
          <w:b/>
          <w:sz w:val="20"/>
        </w:rPr>
        <w:t>Durham, North Carolina 27703</w:t>
      </w:r>
    </w:p>
    <w:p>
      <w:pPr>
        <w:pStyle w:val="TextBody"/>
        <w:bidi w:val="0"/>
        <w:spacing w:before="0" w:after="0"/>
        <w:ind w:left="0" w:right="0" w:hanging="0"/>
        <w:jc w:val="center"/>
        <w:rPr>
          <w:i/>
          <w:sz w:val="20"/>
        </w:rPr>
      </w:pPr>
      <w:r>
        <w:rPr>
          <w:i/>
          <w:sz w:val="20"/>
        </w:rPr>
        <w:t>(Name and Address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(919) 859-1302</w:t>
      </w:r>
    </w:p>
    <w:p>
      <w:pPr>
        <w:pStyle w:val="TextBody"/>
        <w:bidi w:val="0"/>
        <w:spacing w:before="0" w:after="0"/>
        <w:ind w:left="0" w:right="0" w:hanging="0"/>
        <w:jc w:val="center"/>
        <w:rPr>
          <w:i/>
          <w:sz w:val="20"/>
        </w:rPr>
      </w:pPr>
      <w:r>
        <w:rPr>
          <w:i/>
          <w:sz w:val="20"/>
        </w:rPr>
        <w:t>(Telephone Number, Including Area Code,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i/>
          <w:sz w:val="20"/>
        </w:rPr>
      </w:pPr>
      <w:r>
        <w:rPr>
          <w:i/>
          <w:sz w:val="20"/>
        </w:rPr>
        <w:t>Copies to:</w:t>
      </w:r>
    </w:p>
    <w:p>
      <w:pPr>
        <w:pStyle w:val="TextBody"/>
        <w:bidi w:val="0"/>
        <w:spacing w:before="0" w:after="0"/>
        <w:ind w:left="0" w:right="0" w:hanging="0"/>
        <w:jc w:val="center"/>
        <w:rPr>
          <w:b/>
          <w:sz w:val="20"/>
        </w:rPr>
      </w:pPr>
      <w:r>
        <w:rPr>
          <w:b/>
          <w:sz w:val="20"/>
        </w:rPr>
        <w:t>Brian Lane, Esq.</w:t>
      </w:r>
    </w:p>
    <w:p>
      <w:pPr>
        <w:pStyle w:val="TextBody"/>
        <w:bidi w:val="0"/>
        <w:spacing w:before="0" w:after="0"/>
        <w:ind w:left="0" w:right="0" w:hanging="0"/>
        <w:jc w:val="center"/>
        <w:rPr>
          <w:b/>
          <w:sz w:val="20"/>
        </w:rPr>
      </w:pPr>
      <w:r>
        <w:rPr>
          <w:b/>
          <w:sz w:val="20"/>
        </w:rPr>
        <w:t>Robyn Zolman, Esq.</w:t>
      </w:r>
    </w:p>
    <w:p>
      <w:pPr>
        <w:pStyle w:val="TextBody"/>
        <w:bidi w:val="0"/>
        <w:spacing w:before="0" w:after="0"/>
        <w:ind w:left="0" w:right="0" w:hanging="0"/>
        <w:jc w:val="center"/>
        <w:rPr>
          <w:b/>
          <w:sz w:val="20"/>
        </w:rPr>
      </w:pPr>
      <w:r>
        <w:rPr>
          <w:b/>
          <w:sz w:val="20"/>
        </w:rPr>
        <w:t>Gibson, Dunn and Crutcher LLP</w:t>
      </w:r>
    </w:p>
    <w:p>
      <w:pPr>
        <w:pStyle w:val="TextBody"/>
        <w:bidi w:val="0"/>
        <w:spacing w:before="0" w:after="0"/>
        <w:ind w:left="0" w:right="0" w:hanging="0"/>
        <w:jc w:val="center"/>
        <w:rPr>
          <w:b/>
          <w:sz w:val="20"/>
        </w:rPr>
      </w:pPr>
      <w:r>
        <w:rPr>
          <w:b/>
          <w:sz w:val="20"/>
        </w:rPr>
        <w:t>1050 Connecticut Ave. N.W.</w:t>
      </w:r>
    </w:p>
    <w:p>
      <w:pPr>
        <w:pStyle w:val="TextBody"/>
        <w:bidi w:val="0"/>
        <w:spacing w:before="0" w:after="0"/>
        <w:ind w:left="0" w:right="0" w:hanging="0"/>
        <w:jc w:val="center"/>
        <w:rPr>
          <w:b/>
          <w:sz w:val="20"/>
        </w:rPr>
      </w:pPr>
      <w:r>
        <w:rPr>
          <w:b/>
          <w:sz w:val="20"/>
        </w:rPr>
        <w:t>Washington, DC 20036</w:t>
      </w:r>
    </w:p>
    <w:p>
      <w:pPr>
        <w:pStyle w:val="TextBody"/>
        <w:bidi w:val="0"/>
        <w:spacing w:before="0" w:after="0"/>
        <w:ind w:left="0" w:right="0" w:hanging="0"/>
        <w:jc w:val="center"/>
        <w:rPr>
          <w:b/>
          <w:caps/>
          <w:sz w:val="20"/>
        </w:rPr>
      </w:pPr>
      <w:r>
        <w:rPr>
          <w:b/>
          <w:caps/>
          <w:sz w:val="20"/>
        </w:rPr>
        <w:t>(202) 955-8500</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sz w:val="20"/>
        </w:rPr>
      </w:pPr>
      <w:r>
        <w:rPr>
          <w:caps/>
          <w:sz w:val="20"/>
        </w:rPr>
        <w:t>I</w:t>
      </w:r>
      <w:r>
        <w:rPr>
          <w:sz w:val="20"/>
        </w:rPr>
        <w:t>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92"/>
        <w:gridCol w:w="60"/>
        <w:gridCol w:w="8553"/>
      </w:tblGrid>
      <w:tr>
        <w:trPr/>
        <w:tc>
          <w:tcPr>
            <w:tcW w:w="1592" w:type="dxa"/>
            <w:tcBorders/>
            <w:vAlign w:val="center"/>
          </w:tcPr>
          <w:p>
            <w:pPr>
              <w:pStyle w:val="TableContents"/>
              <w:bidi w:val="0"/>
              <w:spacing w:before="0" w:after="283"/>
              <w:jc w:val="left"/>
              <w:rPr>
                <w:sz w:val="20"/>
              </w:rPr>
            </w:pPr>
            <w:r>
              <w:rPr>
                <w:sz w:val="20"/>
              </w:rPr>
              <w:t>Large accelerated filer ☒</w:t>
            </w:r>
          </w:p>
        </w:tc>
        <w:tc>
          <w:tcPr>
            <w:tcW w:w="60" w:type="dxa"/>
            <w:tcBorders/>
            <w:vAlign w:val="center"/>
          </w:tcPr>
          <w:p>
            <w:pPr>
              <w:pStyle w:val="TableContents"/>
              <w:bidi w:val="0"/>
              <w:spacing w:before="0" w:after="283"/>
              <w:jc w:val="left"/>
              <w:rPr/>
            </w:pPr>
            <w:r>
              <w:rPr/>
              <w:t> </w:t>
            </w:r>
          </w:p>
        </w:tc>
        <w:tc>
          <w:tcPr>
            <w:tcW w:w="8553" w:type="dxa"/>
            <w:tcBorders/>
            <w:vAlign w:val="center"/>
          </w:tcPr>
          <w:p>
            <w:pPr>
              <w:pStyle w:val="TableContents"/>
              <w:bidi w:val="0"/>
              <w:spacing w:before="0" w:after="283"/>
              <w:jc w:val="left"/>
              <w:rPr>
                <w:sz w:val="20"/>
              </w:rPr>
            </w:pPr>
            <w:r>
              <w:rPr>
                <w:sz w:val="20"/>
              </w:rPr>
              <w:t>Accelerated filer ☐</w:t>
            </w:r>
          </w:p>
        </w:tc>
      </w:tr>
      <w:tr>
        <w:trPr/>
        <w:tc>
          <w:tcPr>
            <w:tcW w:w="1592" w:type="dxa"/>
            <w:tcBorders/>
            <w:vAlign w:val="center"/>
          </w:tcPr>
          <w:p>
            <w:pPr>
              <w:pStyle w:val="TableContents"/>
              <w:bidi w:val="0"/>
              <w:spacing w:before="0" w:after="283"/>
              <w:jc w:val="left"/>
              <w:rPr>
                <w:sz w:val="20"/>
              </w:rPr>
            </w:pPr>
            <w:r>
              <w:rPr>
                <w:sz w:val="20"/>
              </w:rPr>
              <w:t>Non-accelerated filer ☐</w:t>
            </w:r>
          </w:p>
        </w:tc>
        <w:tc>
          <w:tcPr>
            <w:tcW w:w="60" w:type="dxa"/>
            <w:tcBorders/>
            <w:vAlign w:val="center"/>
          </w:tcPr>
          <w:p>
            <w:pPr>
              <w:pStyle w:val="TableContents"/>
              <w:bidi w:val="0"/>
              <w:spacing w:before="0" w:after="283"/>
              <w:jc w:val="left"/>
              <w:rPr/>
            </w:pPr>
            <w:r>
              <w:rPr/>
              <w:t> </w:t>
            </w:r>
          </w:p>
        </w:tc>
        <w:tc>
          <w:tcPr>
            <w:tcW w:w="8553" w:type="dxa"/>
            <w:tcBorders/>
            <w:vAlign w:val="center"/>
          </w:tcPr>
          <w:p>
            <w:pPr>
              <w:pStyle w:val="TableContents"/>
              <w:bidi w:val="0"/>
              <w:spacing w:before="0" w:after="283"/>
              <w:ind w:left="0" w:right="0" w:firstLine="7200"/>
              <w:jc w:val="left"/>
              <w:rPr>
                <w:sz w:val="20"/>
              </w:rPr>
            </w:pPr>
            <w:r>
              <w:rPr>
                <w:sz w:val="20"/>
              </w:rPr>
              <w:t>Smaller reporting company ☐</w:t>
            </w:r>
          </w:p>
        </w:tc>
      </w:tr>
      <w:tr>
        <w:trPr/>
        <w:tc>
          <w:tcPr>
            <w:tcW w:w="15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3"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72" w:right="72"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 w:right="72" w:hanging="0"/>
        <w:jc w:val="center"/>
        <w:rPr/>
      </w:pPr>
      <w:r>
        <w:rPr/>
        <w:t> </w:t>
      </w:r>
    </w:p>
    <w:p>
      <w:pPr>
        <w:pStyle w:val="TextBody"/>
        <w:bidi w:val="0"/>
        <w:spacing w:before="0" w:after="0"/>
        <w:ind w:left="0" w:right="0" w:hanging="0"/>
        <w:jc w:val="center"/>
        <w:rPr>
          <w:b/>
          <w:caps/>
          <w:sz w:val="20"/>
        </w:rPr>
      </w:pPr>
      <w:r>
        <w:rPr>
          <w:b/>
          <w:caps/>
          <w:sz w:val="20"/>
        </w:rPr>
        <w:t>EXPLANATORY NOTE</w:t>
      </w:r>
    </w:p>
    <w:p>
      <w:pPr>
        <w:pStyle w:val="TextBody"/>
        <w:bidi w:val="0"/>
        <w:spacing w:before="0" w:after="0"/>
        <w:ind w:left="0" w:right="0" w:hanging="0"/>
        <w:jc w:val="center"/>
        <w:rPr>
          <w:caps/>
        </w:rPr>
      </w:pPr>
      <w:r>
        <w:rPr>
          <w:caps/>
        </w:rPr>
        <w:t> </w:t>
      </w:r>
    </w:p>
    <w:p>
      <w:pPr>
        <w:pStyle w:val="TextBody"/>
        <w:bidi w:val="0"/>
        <w:spacing w:before="0" w:after="0"/>
        <w:ind w:left="0" w:right="0" w:firstLine="540"/>
        <w:jc w:val="left"/>
        <w:rPr>
          <w:sz w:val="20"/>
        </w:rPr>
      </w:pPr>
      <w:r>
        <w:rPr>
          <w:sz w:val="20"/>
        </w:rPr>
        <w:t>This Registration Statement on Form S-8 (this “Registration Statement”) is filed by BioCryst Pharmaceuticals, Inc. (the “Registrant”) to register 7,000,000 shares of the Registrant’s common stock, par value $0.01 per share, to be offered and sold under the Registrant’s Stock Incentive Plan (as amended and restated as of April 20, 2026), as approved by the Registrant’s stockholders on June 11,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PART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sz w:val="20"/>
        </w:rPr>
      </w:pPr>
      <w:r>
        <w:rPr>
          <w:b/>
          <w:caps/>
          <w:sz w:val="20"/>
        </w:rPr>
        <w:t>INFORMATION REQUIRED IN THE SECTION 10(</w:t>
      </w:r>
      <w:r>
        <w:rPr>
          <w:b/>
          <w:sz w:val="20"/>
        </w:rPr>
        <w:t>a</w:t>
      </w:r>
      <w:r>
        <w:rPr>
          <w:b/>
          <w:caps/>
          <w:sz w:val="20"/>
        </w:rPr>
        <w:t>)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540"/>
        <w:jc w:val="left"/>
        <w:rPr>
          <w:sz w:val="20"/>
        </w:rPr>
      </w:pPr>
      <w:r>
        <w:rPr>
          <w:sz w:val="20"/>
        </w:rPr>
        <w:t>Documents containing the information specified in Part I of Form S-8 have been and/or will be sent or given to employees as specified by Rule 428(b)(1) of the Securities Act of 1933, as amended (the “Securities Act”). In accordance with the instructions of Part I of Form S-8, such documents will not be filed with the U.S. Securities and Exchange Commission (the “Commission”) either as part of this Registration Statement or as prospectuses or prospectus supplements pursuant to Rule 424 under the Securities Act. These documents and the documents incorporated by reference pursuant to Item 3 of Part II of this Registration Statement, taken together, constitute the prospectus as required by Section 10(a) of the Securities Act.</w:t>
      </w:r>
    </w:p>
    <w:p>
      <w:pPr>
        <w:pStyle w:val="TextBody"/>
        <w:bidi w:val="0"/>
        <w:spacing w:before="0" w:after="0"/>
        <w:ind w:left="0" w:right="0" w:firstLine="720"/>
        <w:jc w:val="left"/>
        <w:rPr/>
      </w:pPr>
      <w:r>
        <w:rPr/>
        <w:t> </w:t>
      </w:r>
    </w:p>
    <w:p>
      <w:pPr>
        <w:pStyle w:val="TextBody"/>
        <w:bidi w:val="0"/>
        <w:spacing w:before="0" w:after="0"/>
        <w:ind w:left="0" w:right="0" w:hanging="0"/>
        <w:jc w:val="center"/>
        <w:rPr>
          <w:b/>
          <w:caps/>
          <w:sz w:val="20"/>
        </w:rPr>
      </w:pPr>
      <w:r>
        <w:rPr>
          <w:b/>
          <w:caps/>
          <w:sz w:val="20"/>
        </w:rPr>
        <w:t>PART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INFORMATION REQUIRED IN THE REGISTRATION STATEMENT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b/>
          <w:sz w:val="20"/>
        </w:rPr>
      </w:pPr>
      <w:r>
        <w:rPr>
          <w:b/>
          <w:sz w:val="20"/>
        </w:rPr>
        <w:t>Item 3. Incorporation of Documents by Reference.</w:t>
      </w:r>
    </w:p>
    <w:p>
      <w:pPr>
        <w:pStyle w:val="TextBody"/>
        <w:bidi w:val="0"/>
        <w:spacing w:before="0" w:after="0"/>
        <w:ind w:left="0" w:right="0" w:hanging="0"/>
        <w:jc w:val="left"/>
        <w:rPr/>
      </w:pPr>
      <w:r>
        <w:rPr/>
        <w:t> </w:t>
      </w:r>
    </w:p>
    <w:p>
      <w:pPr>
        <w:pStyle w:val="TextBody"/>
        <w:bidi w:val="0"/>
        <w:spacing w:before="0" w:after="0"/>
        <w:ind w:left="0" w:right="0" w:firstLine="540"/>
        <w:jc w:val="left"/>
        <w:rPr>
          <w:sz w:val="20"/>
        </w:rPr>
      </w:pPr>
      <w:r>
        <w:rPr>
          <w:sz w:val="20"/>
        </w:rPr>
        <w:t>The following documents filed by the Registrant with the Commission pursuant to the Securities Exchange Act of 1934, as amended (the “Exchange Act”), are incorporated by reference in this Registration Statement:</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sz w:val="20"/>
        </w:rPr>
        <w:t xml:space="preserve">(a)       The Registrant’s </w:t>
      </w:r>
      <w:hyperlink r:id="rId2">
        <w:r>
          <w:rPr>
            <w:rStyle w:val="InternetLink"/>
            <w:sz w:val="20"/>
          </w:rPr>
          <w:t>Annual Report on Form 10-K</w:t>
        </w:r>
      </w:hyperlink>
      <w:r>
        <w:rPr>
          <w:sz w:val="20"/>
        </w:rPr>
        <w:t xml:space="preserve"> for the year ended December 31, 2025, filed with the Commission on February 26, 2026 (including the sections of the Registrant’s </w:t>
      </w:r>
      <w:hyperlink r:id="rId3">
        <w:r>
          <w:rPr>
            <w:rStyle w:val="InternetLink"/>
            <w:sz w:val="20"/>
          </w:rPr>
          <w:t>Definitive Proxy Statement on Schedule 14A</w:t>
        </w:r>
      </w:hyperlink>
      <w:r>
        <w:rPr>
          <w:sz w:val="20"/>
        </w:rPr>
        <w:t>, filed with the Commission on April 23, 2026 and relating to its June 11, 2026 annual meeting of stockholders, that are incorporated by reference therein (other than information furnished rather than filed));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sz w:val="20"/>
        </w:rPr>
        <w:t xml:space="preserve">(b)       The Registrant’s Quarterly Reports on Form 10-Q for the quarter ended March 31, 2026, filed with the Commission on </w:t>
      </w:r>
      <w:hyperlink r:id="rId4">
        <w:r>
          <w:rPr>
            <w:rStyle w:val="InternetLink"/>
            <w:sz w:val="20"/>
          </w:rPr>
          <w:t>May 6, 2026</w:t>
        </w:r>
      </w:hyperlink>
      <w:r>
        <w:rPr>
          <w:sz w:val="20"/>
        </w:rPr>
        <w:t xml:space="preserve">, and for the quarter ended June 30, 2026, filed with the Commission on </w:t>
      </w:r>
      <w:hyperlink r:id="rId5">
        <w:r>
          <w:rPr>
            <w:rStyle w:val="InternetLink"/>
            <w:sz w:val="20"/>
          </w:rPr>
          <w:t>August 5, 2026</w:t>
        </w:r>
      </w:hyperlink>
      <w:r>
        <w:rPr>
          <w:sz w:val="20"/>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sz w:val="20"/>
        </w:rPr>
        <w:t xml:space="preserve">(c)       The Registrant’s Current Reports on Form 8-K or Form 8-K/A, filed with the Commission on </w:t>
      </w:r>
      <w:hyperlink r:id="rId6">
        <w:r>
          <w:rPr>
            <w:rStyle w:val="InternetLink"/>
            <w:sz w:val="20"/>
          </w:rPr>
          <w:t>January 12, 2026</w:t>
        </w:r>
      </w:hyperlink>
      <w:r>
        <w:rPr>
          <w:sz w:val="20"/>
        </w:rPr>
        <w:t xml:space="preserve">, </w:t>
      </w:r>
      <w:hyperlink r:id="rId7">
        <w:r>
          <w:rPr>
            <w:rStyle w:val="InternetLink"/>
            <w:sz w:val="20"/>
          </w:rPr>
          <w:t>January 23, 2026</w:t>
        </w:r>
      </w:hyperlink>
      <w:r>
        <w:rPr>
          <w:sz w:val="20"/>
        </w:rPr>
        <w:t xml:space="preserve">, </w:t>
      </w:r>
      <w:hyperlink r:id="rId8">
        <w:r>
          <w:rPr>
            <w:rStyle w:val="InternetLink"/>
            <w:sz w:val="20"/>
          </w:rPr>
          <w:t>January 23, 2026</w:t>
        </w:r>
      </w:hyperlink>
      <w:r>
        <w:rPr>
          <w:sz w:val="20"/>
        </w:rPr>
        <w:t xml:space="preserve">, </w:t>
      </w:r>
      <w:hyperlink r:id="rId9">
        <w:r>
          <w:rPr>
            <w:rStyle w:val="InternetLink"/>
            <w:sz w:val="20"/>
          </w:rPr>
          <w:t>June 12, 2026</w:t>
        </w:r>
      </w:hyperlink>
      <w:r>
        <w:rPr>
          <w:sz w:val="20"/>
        </w:rPr>
        <w:t xml:space="preserve">, </w:t>
      </w:r>
      <w:hyperlink r:id="rId10">
        <w:r>
          <w:rPr>
            <w:rStyle w:val="InternetLink"/>
            <w:sz w:val="20"/>
          </w:rPr>
          <w:t>June 29, 2026</w:t>
        </w:r>
      </w:hyperlink>
      <w:r>
        <w:rPr>
          <w:sz w:val="20"/>
        </w:rPr>
        <w:t xml:space="preserve"> and </w:t>
      </w:r>
      <w:hyperlink r:id="rId11">
        <w:r>
          <w:rPr>
            <w:rStyle w:val="InternetLink"/>
            <w:sz w:val="20"/>
          </w:rPr>
          <w:t>August 4, 2026</w:t>
        </w:r>
      </w:hyperlink>
      <w:r>
        <w:rPr>
          <w:sz w:val="20"/>
        </w:rPr>
        <w:t xml:space="preserve"> (in each case, other than any portions thereof deemed furnished and not filed); and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sz w:val="20"/>
        </w:rPr>
        <w:t xml:space="preserve">(d)       The description of the Registrant’s common stock contained in its Registration Statement on Form 8-A (File No. 000-23186) filed with the Commission on January 7, 1994, together with the amendment thereto filed with the Commission on March 14, 1994, as updated by the description of the Registrant’s common stock set forth in </w:t>
      </w:r>
      <w:hyperlink r:id="rId12">
        <w:r>
          <w:rPr>
            <w:rStyle w:val="InternetLink"/>
            <w:sz w:val="20"/>
          </w:rPr>
          <w:t>Exhibit 4.1</w:t>
        </w:r>
      </w:hyperlink>
      <w:r>
        <w:rPr>
          <w:sz w:val="20"/>
        </w:rPr>
        <w:t xml:space="preserve"> to the Registrant’s Annual Report on Form 10-K for the year ended December 31, 2020, filed with the Commission on March 1, 2021, and any other amendments or reports filed for the purpose of updating such description.</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All reports and other documents subsequently filed with the Commission by the Registrant pursuant to Sections 13(a), 13(c), 14 and 15(d) of the Exchange Act, prior to the filing of a post-effective amendment which indicates that all securities offered herein have been sold or which deregisters all securities then remaining unsold, shall be deemed to be incorporated by reference in this Registration Statement and to be a part hereof from the date of filing of such documents, excluding any information furnished under Item 2.02 or Item 7.01 of any Current Report on Form 8-K (and corresponding information furnished under Item 9.01 or included as an exhibit thereto).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that also is or is deemed to be incorporated by reference herein modifies or replaces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4. Description of Securities.</w:t>
      </w:r>
    </w:p>
    <w:p>
      <w:pPr>
        <w:pStyle w:val="TextBody"/>
        <w:bidi w:val="0"/>
        <w:spacing w:before="0" w:after="0"/>
        <w:ind w:left="0" w:right="0" w:hanging="0"/>
        <w:jc w:val="left"/>
        <w:rPr/>
      </w:pPr>
      <w:r>
        <w:rPr/>
        <w:t> </w:t>
      </w:r>
    </w:p>
    <w:p>
      <w:pPr>
        <w:pStyle w:val="TextBody"/>
        <w:bidi w:val="0"/>
        <w:spacing w:before="0" w:after="0"/>
        <w:ind w:left="0" w:right="0" w:firstLine="540"/>
        <w:jc w:val="left"/>
        <w:rPr>
          <w:sz w:val="20"/>
        </w:rPr>
      </w:pPr>
      <w:r>
        <w:rPr>
          <w:sz w:val="20"/>
        </w:rPr>
        <w:t>Not applicable.</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Item 5. Interests of Named Experts and Counsel.</w:t>
      </w:r>
    </w:p>
    <w:p>
      <w:pPr>
        <w:pStyle w:val="TextBody"/>
        <w:bidi w:val="0"/>
        <w:spacing w:before="0" w:after="0"/>
        <w:ind w:left="0" w:right="0" w:hanging="0"/>
        <w:jc w:val="left"/>
        <w:rPr/>
      </w:pPr>
      <w:r>
        <w:rPr/>
        <w:t> </w:t>
      </w:r>
    </w:p>
    <w:p>
      <w:pPr>
        <w:pStyle w:val="TextBody"/>
        <w:bidi w:val="0"/>
        <w:spacing w:before="0" w:after="0"/>
        <w:ind w:left="0" w:right="0" w:firstLine="540"/>
        <w:jc w:val="left"/>
        <w:rPr>
          <w:sz w:val="20"/>
        </w:rPr>
      </w:pPr>
      <w:r>
        <w:rPr>
          <w:sz w:val="20"/>
        </w:rPr>
        <w:t>Not applicable.</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Item 6. Indemnification of Directors and Officers.</w:t>
      </w:r>
    </w:p>
    <w:p>
      <w:pPr>
        <w:pStyle w:val="TextBody"/>
        <w:bidi w:val="0"/>
        <w:spacing w:before="0" w:after="0"/>
        <w:ind w:left="0" w:right="0" w:hanging="0"/>
        <w:jc w:val="left"/>
        <w:rPr/>
      </w:pPr>
      <w:r>
        <w:rPr/>
        <w:t> </w:t>
      </w:r>
    </w:p>
    <w:p>
      <w:pPr>
        <w:pStyle w:val="TextBody"/>
        <w:bidi w:val="0"/>
        <w:spacing w:before="0" w:after="0"/>
        <w:ind w:left="0" w:right="0" w:firstLine="540"/>
        <w:jc w:val="left"/>
        <w:rPr>
          <w:sz w:val="20"/>
        </w:rPr>
      </w:pPr>
      <w:r>
        <w:rPr>
          <w:sz w:val="20"/>
        </w:rPr>
        <w:t>Section 145 of the Delaware General Corporation Law (the “DGCL”) sets forth the circumstances in which a Delaware corporation is permitted and/or required to indemnify its directors and officers. The DGCL permits a corporation to indemnify its directors and officers in certain proceedings if the director or officer has complied with the standard of conduct set out in the DGCL. The standard of conduct requires that the director or officer must have acted in good faith, in a manner the person reasonably believed to be in or not opposed to the best interests of the corporation, and, with respect to matters in a criminal proceeding, the director or officer must have had no reasonable cause to believe that his or her conduct was unlawful. With respect to suits by or in the right of the corporation, the DGCL permits indemnification of directors and officers if the person meets the standard of conduct, except that it precludes indemnification of directors and officers who are adjudged liable to the corporation, unless the Court of Chancery or the court in which the corporation’s action or suit was brought determines that the director or officer is fairly and reasonably entitled to indemnity for expenses. To the extent that a present or former director or officer of the corporation is successful on the merits or otherwise in his or her defense of a proceeding, the corporation is required to indemnify the director or officer against reasonable expenses incurred in defending himself or herself. The rights provided in Section 145 of the DGCL are not exclusive, and the corporation may also provide for indemnification under bylaw, agreement, vote of stockholders or disinterested directors or otherwise.</w:t>
      </w:r>
    </w:p>
    <w:p>
      <w:pPr>
        <w:pStyle w:val="TextBody"/>
        <w:bidi w:val="0"/>
        <w:spacing w:before="0" w:after="0"/>
        <w:ind w:left="0" w:right="0" w:firstLine="400"/>
        <w:jc w:val="left"/>
        <w:rPr/>
      </w:pPr>
      <w:r>
        <w:rPr/>
        <w:t> </w:t>
      </w:r>
    </w:p>
    <w:p>
      <w:pPr>
        <w:pStyle w:val="TextBody"/>
        <w:bidi w:val="0"/>
        <w:spacing w:before="0" w:after="0"/>
        <w:ind w:left="0" w:right="0" w:firstLine="540"/>
        <w:jc w:val="left"/>
        <w:rPr>
          <w:sz w:val="20"/>
        </w:rPr>
      </w:pPr>
      <w:r>
        <w:rPr>
          <w:sz w:val="20"/>
        </w:rPr>
        <w:t>The Registrant’s Third Restated Certificate of Incorporation, as amended (the “Certificate of Incorporation”), and its Amended and Restated By-Laws (the “Bylaws”) provide for indemnification of any director or officer who was or is a party or is threatened to be made a party to any threatened, pending or completed action, suit or proceeding, whether civil, criminal, administrative or investigative, by reason of the fact that such person is or was, or has agreed to become, a director or officer of the Registrant, or is or was serving, or agreed to serve, at the request of the Registrant,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such person or on such person’s behalf in connection with such action, suit or proceeding and any appeal therefrom, in each case to the fullest extent permitted by the DGCL. The Registrant shall not indemnify any person seeking indemnification in connection with a proceeding or part thereof initiated by such person unless the initiation was approved by the Board of Directors of the Registrant. The Certificate of Incorporation and the Bylaws further provide for permissible indemnification of employees and other agents to the maximum extent permitted by the DGCL and the Certificate of Incorporation with respect to directors and officers.</w:t>
      </w:r>
    </w:p>
    <w:p>
      <w:pPr>
        <w:pStyle w:val="TextBody"/>
        <w:bidi w:val="0"/>
        <w:spacing w:before="0" w:after="0"/>
        <w:ind w:left="0" w:right="0" w:firstLine="400"/>
        <w:jc w:val="left"/>
        <w:rPr/>
      </w:pPr>
      <w:r>
        <w:rPr/>
        <w:t> </w:t>
      </w:r>
    </w:p>
    <w:p>
      <w:pPr>
        <w:pStyle w:val="TextBody"/>
        <w:bidi w:val="0"/>
        <w:spacing w:before="0" w:after="0"/>
        <w:ind w:left="0" w:right="0" w:firstLine="540"/>
        <w:jc w:val="left"/>
        <w:rPr>
          <w:sz w:val="20"/>
        </w:rPr>
      </w:pPr>
      <w:r>
        <w:rPr>
          <w:sz w:val="20"/>
        </w:rPr>
        <w:t>Section 102(b)(7) of the DGCL provides that a corporation may relieve its directors or officers from personal liability to the corporation or its stockholders for monetary damages for any breach of their fiduciary duty as directors or officers except for (i) a breach of the duty of loyalty; (ii) acts or omissions not in good faith or that involve intentional misconduct or a knowing violation of law; (iii) with respect to directors, willful or negligent violations of certain provisions in the DGCL imposing certain requirements with respect to stock repurchases, redemptions and dividends; (iv) for any transactions from which the director derived an improper personal benefit; or (v) with respect to officers, in any action by or in the right of the corporation. The Registrant’s Certificate of Incorporation provides that no directors of the Registrant shall be liable to the Registrant or its stockholders for monetary damages for breach of fiduciary duty as a director to the fullest extent permitted by the DGCL.</w:t>
      </w:r>
    </w:p>
    <w:p>
      <w:pPr>
        <w:pStyle w:val="TextBody"/>
        <w:bidi w:val="0"/>
        <w:spacing w:before="0" w:after="0"/>
        <w:ind w:left="0" w:right="0" w:firstLine="72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540"/>
        <w:jc w:val="left"/>
        <w:rPr>
          <w:sz w:val="20"/>
        </w:rPr>
      </w:pPr>
      <w:r>
        <w:rPr>
          <w:sz w:val="20"/>
        </w:rPr>
        <w:t>In addition, the Registrant currently maintains liability insurance for its directors and officers insuring them against certain liabilities asserted against them in their capacities as directors or officers or arising out of such status.</w:t>
      </w:r>
    </w:p>
    <w:p>
      <w:pPr>
        <w:pStyle w:val="TextBody"/>
        <w:bidi w:val="0"/>
        <w:spacing w:before="0" w:after="0"/>
        <w:ind w:left="0" w:right="0" w:firstLine="720"/>
        <w:jc w:val="left"/>
        <w:rPr/>
      </w:pPr>
      <w:r>
        <w:rPr/>
        <w:t> </w:t>
      </w:r>
    </w:p>
    <w:p>
      <w:pPr>
        <w:pStyle w:val="TextBody"/>
        <w:bidi w:val="0"/>
        <w:spacing w:before="0" w:after="0"/>
        <w:ind w:left="0" w:right="0" w:firstLine="540"/>
        <w:jc w:val="left"/>
        <w:rPr>
          <w:sz w:val="20"/>
        </w:rPr>
      </w:pPr>
      <w:r>
        <w:rPr>
          <w:sz w:val="20"/>
        </w:rPr>
        <w:t>The indemnification provisions noted above may be sufficiently broad to permit indemnification of the Registrant’s officers and directors for liabilities arising under the Securities Act.</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Item 7. Exemption from Registration Claimed.</w:t>
      </w:r>
    </w:p>
    <w:p>
      <w:pPr>
        <w:pStyle w:val="TextBody"/>
        <w:bidi w:val="0"/>
        <w:spacing w:before="0" w:after="0"/>
        <w:ind w:left="0" w:right="0" w:hanging="0"/>
        <w:jc w:val="left"/>
        <w:rPr/>
      </w:pPr>
      <w:r>
        <w:rPr/>
        <w:t> </w:t>
      </w:r>
    </w:p>
    <w:p>
      <w:pPr>
        <w:pStyle w:val="TextBody"/>
        <w:bidi w:val="0"/>
        <w:spacing w:before="0" w:after="0"/>
        <w:ind w:left="0" w:right="0" w:firstLine="540"/>
        <w:jc w:val="left"/>
        <w:rPr>
          <w:sz w:val="20"/>
        </w:rPr>
      </w:pPr>
      <w:r>
        <w:rPr>
          <w:sz w:val="20"/>
        </w:rPr>
        <w:t>Not applicable.</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Item 8. Exhibits.</w:t>
      </w:r>
    </w:p>
    <w:p>
      <w:pPr>
        <w:pStyle w:val="TextBody"/>
        <w:bidi w:val="0"/>
        <w:spacing w:before="0" w:after="0"/>
        <w:ind w:left="0" w:right="0" w:hanging="0"/>
        <w:jc w:val="left"/>
        <w:rPr/>
      </w:pPr>
      <w:r>
        <w:rPr/>
        <w:t> </w:t>
      </w:r>
    </w:p>
    <w:p>
      <w:pPr>
        <w:pStyle w:val="TextBody"/>
        <w:bidi w:val="0"/>
        <w:spacing w:before="0" w:after="0"/>
        <w:ind w:left="0" w:right="0" w:firstLine="540"/>
        <w:jc w:val="left"/>
        <w:rPr>
          <w:sz w:val="20"/>
        </w:rPr>
      </w:pPr>
      <w:r>
        <w:rPr>
          <w:sz w:val="20"/>
        </w:rPr>
        <w:t>The following exhibits are submitted herewith or incorporated by reference herein.</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283"/>
              <w:jc w:val="center"/>
              <w:rPr>
                <w:b/>
                <w:sz w:val="20"/>
              </w:rPr>
            </w:pPr>
            <w:r>
              <w:rPr>
                <w:b/>
                <w:sz w:val="20"/>
              </w:rPr>
              <w:t xml:space="preserve">Exhibit </w:t>
            </w:r>
            <w:r>
              <w:rPr>
                <w:b/>
                <w:sz w:val="20"/>
                <w:u w:val="single"/>
              </w:rPr>
              <w:br/>
              <w:t>Number</w:t>
            </w:r>
          </w:p>
        </w:tc>
        <w:tc>
          <w:tcPr>
            <w:tcW w:w="9480" w:type="dxa"/>
            <w:tcBorders/>
            <w:vAlign w:val="center"/>
          </w:tcPr>
          <w:p>
            <w:pPr>
              <w:pStyle w:val="TableContents"/>
              <w:bidi w:val="0"/>
              <w:spacing w:before="0" w:after="283"/>
              <w:jc w:val="left"/>
              <w:rPr>
                <w:sz w:val="20"/>
              </w:rPr>
            </w:pPr>
            <w:r>
              <w:rPr>
                <w:sz w:val="20"/>
              </w:rPr>
              <w:br/>
            </w:r>
            <w:r>
              <w:rPr>
                <w:b/>
                <w:sz w:val="20"/>
                <w:u w:val="single"/>
              </w:rPr>
              <w:t>Description</w:t>
            </w:r>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exh_51.htm">
              <w:r>
                <w:rPr>
                  <w:rStyle w:val="InternetLink"/>
                  <w:sz w:val="20"/>
                </w:rPr>
                <w:t>5.1</w:t>
              </w:r>
            </w:hyperlink>
          </w:p>
        </w:tc>
        <w:tc>
          <w:tcPr>
            <w:tcW w:w="9480" w:type="dxa"/>
            <w:tcBorders/>
            <w:vAlign w:val="center"/>
          </w:tcPr>
          <w:p>
            <w:pPr>
              <w:pStyle w:val="TableContents"/>
              <w:bidi w:val="0"/>
              <w:spacing w:before="0" w:after="283"/>
              <w:jc w:val="left"/>
              <w:rPr/>
            </w:pPr>
            <w:hyperlink w:anchor="exh_51.htm">
              <w:r>
                <w:rPr>
                  <w:rStyle w:val="InternetLink"/>
                  <w:sz w:val="20"/>
                </w:rPr>
                <w:t>Opinion of Gibson, Dunn and Crutcher LLP (filed herewith).</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exh_231.htm">
              <w:r>
                <w:rPr>
                  <w:rStyle w:val="InternetLink"/>
                  <w:sz w:val="20"/>
                </w:rPr>
                <w:t>23.1</w:t>
              </w:r>
            </w:hyperlink>
          </w:p>
        </w:tc>
        <w:tc>
          <w:tcPr>
            <w:tcW w:w="9480" w:type="dxa"/>
            <w:tcBorders/>
            <w:vAlign w:val="center"/>
          </w:tcPr>
          <w:p>
            <w:pPr>
              <w:pStyle w:val="TableContents"/>
              <w:bidi w:val="0"/>
              <w:spacing w:before="0" w:after="283"/>
              <w:jc w:val="left"/>
              <w:rPr/>
            </w:pPr>
            <w:hyperlink w:anchor="exh_231.htm">
              <w:r>
                <w:rPr>
                  <w:rStyle w:val="InternetLink"/>
                  <w:sz w:val="20"/>
                </w:rPr>
                <w:t>Consent of Ernst &amp; Young LLP, Independent Registered Public Accounting Firm (filed herewith).</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exh_51.htm">
              <w:r>
                <w:rPr>
                  <w:rStyle w:val="InternetLink"/>
                  <w:sz w:val="20"/>
                </w:rPr>
                <w:t>23.2</w:t>
              </w:r>
            </w:hyperlink>
          </w:p>
        </w:tc>
        <w:tc>
          <w:tcPr>
            <w:tcW w:w="9480" w:type="dxa"/>
            <w:tcBorders/>
            <w:vAlign w:val="center"/>
          </w:tcPr>
          <w:p>
            <w:pPr>
              <w:pStyle w:val="TableContents"/>
              <w:bidi w:val="0"/>
              <w:spacing w:before="0" w:after="283"/>
              <w:jc w:val="left"/>
              <w:rPr/>
            </w:pPr>
            <w:hyperlink w:anchor="exh_51.htm">
              <w:r>
                <w:rPr>
                  <w:rStyle w:val="InternetLink"/>
                  <w:sz w:val="20"/>
                </w:rPr>
                <w:t>Consent of Gibson, Dunn and Crutcher LLP (included in Exhibit 5.1).</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poa">
              <w:r>
                <w:rPr>
                  <w:rStyle w:val="InternetLink"/>
                  <w:sz w:val="20"/>
                </w:rPr>
                <w:t>24.1</w:t>
              </w:r>
            </w:hyperlink>
          </w:p>
        </w:tc>
        <w:tc>
          <w:tcPr>
            <w:tcW w:w="9480" w:type="dxa"/>
            <w:tcBorders/>
            <w:vAlign w:val="center"/>
          </w:tcPr>
          <w:p>
            <w:pPr>
              <w:pStyle w:val="TableContents"/>
              <w:bidi w:val="0"/>
              <w:spacing w:before="0" w:after="283"/>
              <w:jc w:val="left"/>
              <w:rPr/>
            </w:pPr>
            <w:hyperlink w:anchor="poa">
              <w:r>
                <w:rPr>
                  <w:rStyle w:val="InternetLink"/>
                  <w:sz w:val="20"/>
                </w:rPr>
                <w:t>Power of Attorney (included on signature page).</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r:id="rId13">
              <w:r>
                <w:rPr>
                  <w:rStyle w:val="InternetLink"/>
                  <w:sz w:val="20"/>
                </w:rPr>
                <w:t>99.1</w:t>
              </w:r>
            </w:hyperlink>
          </w:p>
        </w:tc>
        <w:tc>
          <w:tcPr>
            <w:tcW w:w="9480" w:type="dxa"/>
            <w:tcBorders/>
            <w:vAlign w:val="center"/>
          </w:tcPr>
          <w:p>
            <w:pPr>
              <w:pStyle w:val="TableContents"/>
              <w:bidi w:val="0"/>
              <w:spacing w:before="0" w:after="283"/>
              <w:jc w:val="left"/>
              <w:rPr/>
            </w:pPr>
            <w:hyperlink r:id="rId14">
              <w:r>
                <w:rPr>
                  <w:rStyle w:val="InternetLink"/>
                  <w:sz w:val="20"/>
                </w:rPr>
                <w:t>BioCryst Pharmaceuticals, Inc. Stock Incentive Plan (as amended and restated as of April 20, 2026) (incorporated by reference to Exhibit 10.1 to the Registrant’s Current Report on Form 8-K filed on June 12, 2026).</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exh_107.htm">
              <w:r>
                <w:rPr>
                  <w:rStyle w:val="InternetLink"/>
                  <w:sz w:val="20"/>
                </w:rPr>
                <w:t>107</w:t>
              </w:r>
            </w:hyperlink>
          </w:p>
        </w:tc>
        <w:tc>
          <w:tcPr>
            <w:tcW w:w="9480" w:type="dxa"/>
            <w:tcBorders/>
            <w:vAlign w:val="center"/>
          </w:tcPr>
          <w:p>
            <w:pPr>
              <w:pStyle w:val="TableContents"/>
              <w:bidi w:val="0"/>
              <w:spacing w:before="0" w:after="283"/>
              <w:jc w:val="left"/>
              <w:rPr/>
            </w:pPr>
            <w:hyperlink w:anchor="exh_107.htm">
              <w:r>
                <w:rPr>
                  <w:rStyle w:val="InternetLink"/>
                  <w:sz w:val="20"/>
                </w:rPr>
                <w:t>Filing Fee Table (filed herewith).</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
          <w:sz w:val="20"/>
        </w:rPr>
      </w:pPr>
      <w:r>
        <w:rPr>
          <w:b/>
          <w:sz w:val="20"/>
        </w:rPr>
        <w:t>Item 9. Undertakings.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2"/>
        <w:gridCol w:w="400"/>
        <w:gridCol w:w="9723"/>
      </w:tblGrid>
      <w:tr>
        <w:trPr/>
        <w:tc>
          <w:tcPr>
            <w:tcW w:w="8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a.</w:t>
            </w:r>
          </w:p>
        </w:tc>
        <w:tc>
          <w:tcPr>
            <w:tcW w:w="9723" w:type="dxa"/>
            <w:tcBorders/>
            <w:vAlign w:val="center"/>
          </w:tcPr>
          <w:p>
            <w:pPr>
              <w:pStyle w:val="TableContents"/>
              <w:bidi w:val="0"/>
              <w:spacing w:before="0" w:after="283"/>
              <w:jc w:val="left"/>
              <w:rPr/>
            </w:pPr>
            <w:r>
              <w:rPr/>
              <w:t>The undersigned Registrant hereby undertakes:</w:t>
            </w:r>
          </w:p>
        </w:tc>
      </w:tr>
    </w:tbl>
    <w:p>
      <w:pPr>
        <w:pStyle w:val="TextBody"/>
        <w:bidi w:val="0"/>
        <w:spacing w:before="0" w:after="0"/>
        <w:ind w:left="0" w:right="0" w:firstLine="720"/>
        <w:jc w:val="left"/>
        <w:rPr/>
      </w:pPr>
      <w:r>
        <w:rPr/>
        <w:t> </w:t>
      </w:r>
    </w:p>
    <w:p>
      <w:pPr>
        <w:pStyle w:val="TextBody"/>
        <w:bidi w:val="0"/>
        <w:spacing w:before="0" w:after="0"/>
        <w:ind w:left="0" w:right="0" w:firstLine="1440"/>
        <w:jc w:val="left"/>
        <w:rPr>
          <w:sz w:val="20"/>
        </w:rPr>
      </w:pPr>
      <w:r>
        <w:rPr>
          <w:sz w:val="20"/>
        </w:rPr>
        <w:t>(1)       To file, during any period in which offers or sales are being made, a post-effective amendment to this Registration Statement:</w:t>
      </w:r>
    </w:p>
    <w:p>
      <w:pPr>
        <w:pStyle w:val="TextBody"/>
        <w:bidi w:val="0"/>
        <w:spacing w:before="0" w:after="0"/>
        <w:ind w:left="0" w:right="0" w:firstLine="1440"/>
        <w:jc w:val="left"/>
        <w:rPr/>
      </w:pPr>
      <w:r>
        <w:rPr/>
        <w:t> </w:t>
      </w:r>
    </w:p>
    <w:p>
      <w:pPr>
        <w:pStyle w:val="TextBody"/>
        <w:bidi w:val="0"/>
        <w:spacing w:before="0" w:after="0"/>
        <w:ind w:left="720" w:right="0" w:firstLine="1440"/>
        <w:jc w:val="left"/>
        <w:rPr>
          <w:sz w:val="20"/>
        </w:rPr>
      </w:pPr>
      <w:r>
        <w:rPr>
          <w:sz w:val="20"/>
        </w:rPr>
        <w:t>(i)        To include any prospectus required by Section 10(a)(3) of the Securities Act;</w:t>
      </w:r>
    </w:p>
    <w:p>
      <w:pPr>
        <w:pStyle w:val="TextBody"/>
        <w:bidi w:val="0"/>
        <w:spacing w:before="0" w:after="0"/>
        <w:ind w:left="1440" w:right="0" w:firstLine="720"/>
        <w:jc w:val="left"/>
        <w:rPr/>
      </w:pPr>
      <w:r>
        <w:rPr/>
        <w:t> </w:t>
      </w:r>
    </w:p>
    <w:p>
      <w:pPr>
        <w:pStyle w:val="TextBody"/>
        <w:bidi w:val="0"/>
        <w:spacing w:before="0" w:after="0"/>
        <w:ind w:left="720" w:right="0" w:firstLine="1440"/>
        <w:jc w:val="left"/>
        <w:rPr>
          <w:sz w:val="20"/>
        </w:rPr>
      </w:pPr>
      <w:r>
        <w:rPr>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this Registration Statement; and</w:t>
      </w:r>
    </w:p>
    <w:p>
      <w:pPr>
        <w:pStyle w:val="TextBody"/>
        <w:bidi w:val="0"/>
        <w:spacing w:before="0" w:after="0"/>
        <w:ind w:left="720" w:right="0" w:firstLine="1440"/>
        <w:jc w:val="left"/>
        <w:rPr/>
      </w:pPr>
      <w:r>
        <w:rPr/>
        <w:t> </w:t>
      </w:r>
    </w:p>
    <w:p>
      <w:pPr>
        <w:pStyle w:val="TextBody"/>
        <w:bidi w:val="0"/>
        <w:spacing w:before="0" w:after="0"/>
        <w:ind w:left="720" w:right="0" w:firstLine="1440"/>
        <w:jc w:val="left"/>
        <w:rPr>
          <w:sz w:val="20"/>
        </w:rPr>
      </w:pPr>
      <w:r>
        <w:rPr>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720" w:right="0" w:firstLine="144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0" w:right="0" w:firstLine="1440"/>
        <w:jc w:val="left"/>
        <w:rPr/>
      </w:pPr>
      <w:r>
        <w:rPr/>
        <w:t> </w:t>
      </w:r>
    </w:p>
    <w:p>
      <w:pPr>
        <w:pStyle w:val="TextBody"/>
        <w:bidi w:val="0"/>
        <w:spacing w:before="0" w:after="0"/>
        <w:ind w:left="0" w:right="0" w:firstLine="1430"/>
        <w:jc w:val="left"/>
        <w:rPr>
          <w:sz w:val="20"/>
        </w:rPr>
      </w:pPr>
      <w:r>
        <w:rPr>
          <w:i/>
          <w:sz w:val="20"/>
        </w:rPr>
        <w:t>provided, however</w:t>
      </w:r>
      <w:r>
        <w:rPr>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firstLine="1430"/>
        <w:jc w:val="left"/>
        <w:rPr/>
      </w:pPr>
      <w:r>
        <w:rPr/>
        <w:t> </w:t>
      </w:r>
    </w:p>
    <w:p>
      <w:pPr>
        <w:pStyle w:val="TextBody"/>
        <w:bidi w:val="0"/>
        <w:spacing w:before="0" w:after="0"/>
        <w:ind w:left="0" w:right="0" w:firstLine="1440"/>
        <w:jc w:val="left"/>
        <w:rPr>
          <w:sz w:val="20"/>
        </w:rPr>
      </w:pPr>
      <w:r>
        <w:rPr>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b.       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540"/>
        <w:jc w:val="left"/>
        <w:rPr>
          <w:sz w:val="20"/>
        </w:rPr>
      </w:pPr>
      <w:r>
        <w:rPr>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Durham, State of North Carolina, on the 5th day of August, 2026.</w:t>
      </w:r>
    </w:p>
    <w:p>
      <w:pPr>
        <w:pStyle w:val="TextBody"/>
        <w:bidi w:val="0"/>
        <w:spacing w:before="0" w:after="0"/>
        <w:ind w:left="0" w:right="0" w:firstLine="720"/>
        <w:jc w:val="left"/>
        <w:rPr/>
      </w:pPr>
      <w:r>
        <w:rPr/>
        <w:t> </w:t>
      </w:r>
    </w:p>
    <w:tbl>
      <w:tblPr>
        <w:tblW w:w="3469" w:type="dxa"/>
        <w:jc w:val="left"/>
        <w:tblInd w:w="0" w:type="dxa"/>
        <w:tblLayout w:type="fixed"/>
        <w:tblCellMar>
          <w:top w:w="0" w:type="dxa"/>
          <w:left w:w="0" w:type="dxa"/>
          <w:bottom w:w="0" w:type="dxa"/>
          <w:right w:w="0" w:type="dxa"/>
        </w:tblCellMar>
      </w:tblPr>
      <w:tblGrid>
        <w:gridCol w:w="75"/>
        <w:gridCol w:w="480"/>
        <w:gridCol w:w="2914"/>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sz w:val="20"/>
              </w:rPr>
            </w:pPr>
            <w:r>
              <w:rPr>
                <w:sz w:val="20"/>
              </w:rPr>
              <w:t>BIOCRYST PHARMACEUTICALS, INC.</w:t>
            </w:r>
          </w:p>
        </w:tc>
      </w:tr>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sz w:val="20"/>
              </w:rPr>
            </w:pPr>
            <w:r>
              <w:rPr>
                <w:sz w:val="20"/>
              </w:rPr>
              <w:t>By:</w:t>
            </w:r>
          </w:p>
        </w:tc>
        <w:tc>
          <w:tcPr>
            <w:tcW w:w="291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Charles Gayer</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283"/>
              <w:jc w:val="left"/>
              <w:rPr>
                <w:sz w:val="20"/>
              </w:rPr>
            </w:pPr>
            <w:r>
              <w:rPr>
                <w:sz w:val="20"/>
              </w:rPr>
              <w:t>Charles Gayer</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283"/>
              <w:jc w:val="left"/>
              <w:rPr>
                <w:i/>
                <w:sz w:val="20"/>
              </w:rPr>
            </w:pPr>
            <w:r>
              <w:rPr>
                <w:i/>
                <w:sz w:val="20"/>
              </w:rPr>
              <w:t>Chief Executive Officer</w:t>
            </w:r>
          </w:p>
        </w:tc>
      </w:tr>
    </w:tbl>
    <w:p>
      <w:pPr>
        <w:pStyle w:val="TextBody"/>
        <w:bidi w:val="0"/>
        <w:spacing w:before="0" w:after="0"/>
        <w:ind w:left="4320" w:right="0" w:hanging="0"/>
        <w:jc w:val="left"/>
        <w:rPr/>
      </w:pPr>
      <w:r>
        <w:rPr/>
        <w:t> </w:t>
      </w:r>
    </w:p>
    <w:p>
      <w:pPr>
        <w:pStyle w:val="TextBody"/>
        <w:bidi w:val="0"/>
        <w:spacing w:before="0" w:after="0"/>
        <w:ind w:left="0" w:right="0" w:hanging="0"/>
        <w:jc w:val="center"/>
        <w:rPr>
          <w:b/>
          <w:caps/>
          <w:sz w:val="20"/>
        </w:rPr>
      </w:pPr>
      <w:bookmarkStart w:id="2" w:name="poa"/>
      <w:bookmarkEnd w:id="2"/>
      <w:r>
        <w:rPr>
          <w:b/>
          <w:caps/>
          <w:sz w:val="20"/>
        </w:rPr>
        <w:t>POWER OF ATTORNEY</w:t>
      </w:r>
    </w:p>
    <w:p>
      <w:pPr>
        <w:pStyle w:val="TextBody"/>
        <w:bidi w:val="0"/>
        <w:spacing w:before="0" w:after="0"/>
        <w:ind w:left="0" w:right="0" w:hanging="0"/>
        <w:jc w:val="center"/>
        <w:rPr>
          <w:caps/>
        </w:rPr>
      </w:pPr>
      <w:r>
        <w:rPr>
          <w:caps/>
        </w:rPr>
        <w:t> </w:t>
      </w:r>
    </w:p>
    <w:p>
      <w:pPr>
        <w:pStyle w:val="TextBody"/>
        <w:bidi w:val="0"/>
        <w:spacing w:before="0" w:after="0"/>
        <w:ind w:left="0" w:right="0" w:firstLine="540"/>
        <w:jc w:val="left"/>
        <w:rPr>
          <w:sz w:val="20"/>
        </w:rPr>
      </w:pPr>
      <w:r>
        <w:rPr>
          <w:sz w:val="20"/>
        </w:rPr>
        <w:t>Each of the undersigned officers and directors of BIOCRYST PHARMACEUTICALS, INC. hereby constitutes and appoints Charles Gayer, Babar Ghias, and Alane Barnes, and each of them, as the undersigned’s true and lawful attorneys-in-fact and agents, with full power of substitution and resubstitution, for the undersigned and in the undersigned’s name, place and stead, in any and all capacities, to sign any and all amendments (including post-effective amendments) to this Registration Statement, and to file the same, with all exhibits thereto, and all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the undersigned might or could do in person, hereby ratifying and confirming all that said attorneys-in-fact and agents, or any of them, or any of their substitutes, may lawfully do or cause to be done by virtue hereof.</w:t>
      </w:r>
    </w:p>
    <w:p>
      <w:pPr>
        <w:pStyle w:val="TextBody"/>
        <w:bidi w:val="0"/>
        <w:spacing w:before="0" w:after="0"/>
        <w:ind w:left="0" w:right="0" w:firstLine="720"/>
        <w:jc w:val="left"/>
        <w:rPr/>
      </w:pPr>
      <w:r>
        <w:rPr/>
        <w:t> </w:t>
      </w:r>
    </w:p>
    <w:p>
      <w:pPr>
        <w:pStyle w:val="TextBody"/>
        <w:bidi w:val="0"/>
        <w:spacing w:before="0" w:after="0"/>
        <w:ind w:left="0" w:right="0" w:firstLine="540"/>
        <w:jc w:val="left"/>
        <w:rPr>
          <w:sz w:val="20"/>
        </w:rPr>
      </w:pPr>
      <w:r>
        <w:rPr>
          <w:sz w:val="20"/>
        </w:rPr>
        <w:t>Pursuant to the requirements of the Securities Act, this Registration Statement has been signed by the following persons in the capacities indicated on August 5, 2026.</w:t>
      </w:r>
    </w:p>
    <w:p>
      <w:pPr>
        <w:pStyle w:val="TextBody"/>
        <w:bidi w:val="0"/>
        <w:spacing w:before="0" w:after="0"/>
        <w:ind w:left="0" w:right="0" w:firstLine="720"/>
        <w:jc w:val="left"/>
        <w:rPr/>
      </w:pPr>
      <w:r>
        <w:rPr/>
        <w:t> </w:t>
      </w:r>
    </w:p>
    <w:tbl>
      <w:tblPr>
        <w:tblW w:w="7465" w:type="dxa"/>
        <w:jc w:val="left"/>
        <w:tblInd w:w="0" w:type="dxa"/>
        <w:tblLayout w:type="fixed"/>
        <w:tblCellMar>
          <w:top w:w="0" w:type="dxa"/>
          <w:left w:w="0" w:type="dxa"/>
          <w:bottom w:w="0" w:type="dxa"/>
          <w:right w:w="0" w:type="dxa"/>
        </w:tblCellMar>
      </w:tblPr>
      <w:tblGrid>
        <w:gridCol w:w="2210"/>
        <w:gridCol w:w="60"/>
        <w:gridCol w:w="5195"/>
      </w:tblGrid>
      <w:tr>
        <w:trPr/>
        <w:tc>
          <w:tcPr>
            <w:tcW w:w="2210" w:type="dxa"/>
            <w:tcBorders/>
            <w:vAlign w:val="center"/>
          </w:tcPr>
          <w:p>
            <w:pPr>
              <w:pStyle w:val="TableContents"/>
              <w:bidi w:val="0"/>
              <w:spacing w:before="0" w:after="283"/>
              <w:jc w:val="center"/>
              <w:rPr>
                <w:b/>
                <w:sz w:val="20"/>
                <w:u w:val="single"/>
              </w:rPr>
            </w:pPr>
            <w:r>
              <w:rPr>
                <w:b/>
                <w:sz w:val="20"/>
                <w:u w:val="single"/>
              </w:rPr>
              <w:t>Signature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b/>
                <w:sz w:val="20"/>
                <w:u w:val="single"/>
              </w:rPr>
            </w:pPr>
            <w:r>
              <w:rPr>
                <w:b/>
                <w:sz w:val="20"/>
                <w:u w:val="single"/>
              </w:rPr>
              <w:t>Title</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Charles Gayer</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President, Chief Executive Officer and Director</w:t>
            </w:r>
          </w:p>
        </w:tc>
      </w:tr>
      <w:tr>
        <w:trPr/>
        <w:tc>
          <w:tcPr>
            <w:tcW w:w="2210" w:type="dxa"/>
            <w:tcBorders/>
            <w:vAlign w:val="center"/>
          </w:tcPr>
          <w:p>
            <w:pPr>
              <w:pStyle w:val="TableContents"/>
              <w:bidi w:val="0"/>
              <w:spacing w:before="0" w:after="283"/>
              <w:jc w:val="left"/>
              <w:rPr>
                <w:sz w:val="20"/>
              </w:rPr>
            </w:pPr>
            <w:r>
              <w:rPr>
                <w:sz w:val="20"/>
              </w:rPr>
              <w:t>Charles Gayer</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w:t>
            </w:r>
            <w:r>
              <w:rPr>
                <w:i/>
                <w:sz w:val="20"/>
              </w:rPr>
              <w:t>Principal Executive Officer</w:t>
            </w:r>
            <w:r>
              <w:rPr>
                <w:sz w:val="20"/>
              </w:rPr>
              <w:t>)</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Babar Ghias</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 xml:space="preserve">Chief Financial Officer </w:t>
            </w:r>
          </w:p>
        </w:tc>
      </w:tr>
      <w:tr>
        <w:trPr/>
        <w:tc>
          <w:tcPr>
            <w:tcW w:w="2210" w:type="dxa"/>
            <w:tcBorders/>
            <w:vAlign w:val="center"/>
          </w:tcPr>
          <w:p>
            <w:pPr>
              <w:pStyle w:val="TableContents"/>
              <w:bidi w:val="0"/>
              <w:spacing w:before="0" w:after="283"/>
              <w:jc w:val="left"/>
              <w:rPr>
                <w:sz w:val="20"/>
              </w:rPr>
            </w:pPr>
            <w:r>
              <w:rPr>
                <w:sz w:val="20"/>
              </w:rPr>
              <w:t>Babar Ghias</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w:t>
            </w:r>
            <w:r>
              <w:rPr>
                <w:i/>
                <w:sz w:val="20"/>
              </w:rPr>
              <w:t>Principal Financial Officer and Principal Accounting Officer</w:t>
            </w:r>
            <w:r>
              <w:rPr>
                <w:sz w:val="20"/>
              </w:rPr>
              <w:t>)</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Vincent Milano</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Chairperson of the Board, Director</w:t>
            </w:r>
          </w:p>
        </w:tc>
      </w:tr>
      <w:tr>
        <w:trPr/>
        <w:tc>
          <w:tcPr>
            <w:tcW w:w="2210" w:type="dxa"/>
            <w:tcBorders/>
            <w:vAlign w:val="center"/>
          </w:tcPr>
          <w:p>
            <w:pPr>
              <w:pStyle w:val="TableContents"/>
              <w:bidi w:val="0"/>
              <w:spacing w:before="0" w:after="283"/>
              <w:jc w:val="left"/>
              <w:rPr>
                <w:sz w:val="20"/>
              </w:rPr>
            </w:pPr>
            <w:r>
              <w:rPr>
                <w:sz w:val="20"/>
              </w:rPr>
              <w:t>Vincent Milano</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Frank</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Steven Frank</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Galson</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Steven Galson, M.D., MPH</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Theresa Heggie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Theresa Heggie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Alan Levin</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Alan Levin</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Amy McKee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Amy McKee, M.D.</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Jill Milne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 xml:space="preserve">Jill Milne, Ph.D.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Machelle Sanders</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Machelle Sanders</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Jon Stonehouse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sz w:val="20"/>
              </w:rPr>
            </w:pPr>
            <w:r>
              <w:rPr>
                <w:sz w:val="20"/>
              </w:rPr>
              <w:t>Director</w:t>
            </w:r>
          </w:p>
        </w:tc>
      </w:tr>
      <w:tr>
        <w:trPr/>
        <w:tc>
          <w:tcPr>
            <w:tcW w:w="2210" w:type="dxa"/>
            <w:tcBorders/>
            <w:vAlign w:val="center"/>
          </w:tcPr>
          <w:p>
            <w:pPr>
              <w:pStyle w:val="TableContents"/>
              <w:bidi w:val="0"/>
              <w:spacing w:before="0" w:after="283"/>
              <w:jc w:val="left"/>
              <w:rPr>
                <w:sz w:val="20"/>
              </w:rPr>
            </w:pPr>
            <w:r>
              <w:rPr>
                <w:sz w:val="20"/>
              </w:rPr>
              <w:t>Jon Stonehouse</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center"/>
        <w:rPr/>
      </w:pPr>
      <w:r>
        <w:rPr/>
        <w:t> </w:t>
      </w:r>
    </w:p>
    <w:p>
      <w:pPr>
        <w:pStyle w:val="TextBody"/>
        <w:bidi w:val="0"/>
        <w:jc w:val="right"/>
        <w:rPr>
          <w:b/>
        </w:rPr>
      </w:pPr>
      <w:bookmarkStart w:id="3" w:name="exh_51.htm"/>
      <w:bookmarkStart w:id="4" w:name="ksexh_51"/>
      <w:bookmarkEnd w:id="3"/>
      <w:bookmarkEnd w:id="4"/>
      <w:r>
        <w:rPr>
          <w:b/>
        </w:rPr>
        <w:t>Exhibit 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9050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905000" cy="2476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sz w:val="20"/>
        </w:rPr>
      </w:pPr>
      <w:r>
        <w:rPr>
          <w:sz w:val="20"/>
        </w:rPr>
        <w:t>August 5,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BioCryst Pharmaceuticals, Inc.</w:t>
      </w:r>
    </w:p>
    <w:p>
      <w:pPr>
        <w:pStyle w:val="TextBody"/>
        <w:bidi w:val="0"/>
        <w:spacing w:before="0" w:after="0"/>
        <w:ind w:left="0" w:right="0" w:hanging="0"/>
        <w:jc w:val="left"/>
        <w:rPr>
          <w:sz w:val="20"/>
        </w:rPr>
      </w:pPr>
      <w:r>
        <w:rPr>
          <w:sz w:val="20"/>
        </w:rPr>
        <w:t>4505 Emperor Blvd., Suite 200</w:t>
      </w:r>
    </w:p>
    <w:p>
      <w:pPr>
        <w:pStyle w:val="TextBody"/>
        <w:bidi w:val="0"/>
        <w:spacing w:before="0" w:after="0"/>
        <w:ind w:left="0" w:right="0" w:hanging="0"/>
        <w:jc w:val="left"/>
        <w:rPr>
          <w:sz w:val="20"/>
        </w:rPr>
      </w:pPr>
      <w:r>
        <w:rPr>
          <w:sz w:val="20"/>
        </w:rPr>
        <w:t>Durham, North Carolina 27703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6"/>
        <w:gridCol w:w="526"/>
        <w:gridCol w:w="9623"/>
      </w:tblGrid>
      <w:tr>
        <w:trPr/>
        <w:tc>
          <w:tcPr>
            <w:tcW w:w="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Re:</w:t>
            </w:r>
          </w:p>
        </w:tc>
        <w:tc>
          <w:tcPr>
            <w:tcW w:w="9623" w:type="dxa"/>
            <w:tcBorders/>
            <w:vAlign w:val="center"/>
          </w:tcPr>
          <w:p>
            <w:pPr>
              <w:pStyle w:val="TableContents"/>
              <w:bidi w:val="0"/>
              <w:spacing w:before="0" w:after="283"/>
              <w:jc w:val="left"/>
              <w:rPr/>
            </w:pPr>
            <w:r>
              <w:rPr/>
              <w:t>BioCryst Pharmaceuticals, Inc. Registration Statement on Form S-8</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Ladies and Gentlemen:</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We have examined the Registration Statement on Form S-8 (the “Registration Statement”) of BioCryst Pharmaceuticals, Inc., a Delaware corporation (the “Company”), filed with the Securities and Exchange Commission (the “Commission”) pursuant to the Securities Act of 1933, as amended (the “Securities Act”), in connection with the offering by the Company of up to 7,000,000 shares of the Company’s common stock, par value $0.01 per share (“Common Stock”), issuable pursuant to the Company’s Stock Incentive Plan (as amended and restated April 20, 2026, the “Plan,” and such shares, the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this opinion.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this opinion, we have relied to the extent we deemed appropriate and without independent investigation upon statements and representations of officers and other representatives of the Company and others. We have also assumed without independent investigation that there are no agreements or understandings between or among the Company and any participants in the Plan that would expand, modify, or otherwise affect the terms of the Plan or the respective rights or obligations of the participants thereunder.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Based on the foregoing and in reliance thereon, and subject to the assumptions, exceptions, qualifications and limitations set forth herein, we are of the opinion that the Shares, when issued against payment therefor in accordance with the terms set forth in the Plan, will be validly issued, fully paid and non-assessable.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We render no opinion herein as to matters involving the laws of any jurisdiction other than the Delaware General Corporation Law (“DGCL”). This opinion is limited to the effect of the current state of the DGCL and the facts as they currently exist. We assume no obligation to revise or supplement this opinion in the event of future changes in such laws or the interpretation thereof or such facts. We express no opinion regarding any federal or state securities laws or regulations.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sz w:val="18"/>
        </w:rPr>
      </w:pPr>
      <w:r>
        <w:rPr>
          <w:b/>
          <w:sz w:val="18"/>
        </w:rPr>
        <w:t>Gibson, Dunn &amp; Crutcher LLP</w:t>
      </w:r>
      <w:r>
        <w:rPr>
          <w:sz w:val="18"/>
        </w:rPr>
        <w:br/>
        <w:t>2001 Ross Avenue Suite 2100 | Dallas, TX 75201-2923 | T: 214.698.3100 | F: 214.571.2900 | gibsondunn.com</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drawing>
          <wp:inline distT="0" distB="0" distL="0" distR="0">
            <wp:extent cx="190500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905000" cy="24765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August 5, 2026</w:t>
        <w:br/>
        <w:t>Page 2</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We consent to the filing of this opinion as an exhibit to the Registration Statement. In giving this consent, we do not thereby admit that we are within the category of persons whose consent is required under Section 7 of the Securities Act or the Rules and Regulations of the Commission.</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3320"/>
        <w:gridCol w:w="75"/>
      </w:tblGrid>
      <w:tr>
        <w:trPr/>
        <w:tc>
          <w:tcPr>
            <w:tcW w:w="3320" w:type="dxa"/>
            <w:tcBorders/>
            <w:vAlign w:val="center"/>
          </w:tcPr>
          <w:p>
            <w:pPr>
              <w:pStyle w:val="TableContents"/>
              <w:bidi w:val="0"/>
              <w:spacing w:before="0" w:after="0"/>
              <w:ind w:left="0" w:right="0" w:hanging="0"/>
              <w:jc w:val="left"/>
              <w:rPr>
                <w:sz w:val="20"/>
              </w:rPr>
            </w:pPr>
            <w:r>
              <w:rPr>
                <w:sz w:val="20"/>
              </w:rPr>
              <w:t>Very truly yours,</w:t>
            </w:r>
          </w:p>
          <w:p>
            <w:pPr>
              <w:pStyle w:val="TableContents"/>
              <w:bidi w:val="0"/>
              <w:spacing w:before="0" w:after="0"/>
              <w:ind w:left="0" w:right="0" w:hanging="0"/>
              <w:jc w:val="left"/>
              <w:rPr/>
            </w:pPr>
            <w:r>
              <w:rPr/>
              <w:t> </w:t>
            </w:r>
          </w:p>
          <w:p>
            <w:pPr>
              <w:pStyle w:val="TableContents"/>
              <w:bidi w:val="0"/>
              <w:spacing w:before="0" w:after="0"/>
              <w:ind w:left="0" w:right="0" w:hanging="0"/>
              <w:jc w:val="left"/>
              <w:rPr>
                <w:caps/>
                <w:sz w:val="20"/>
              </w:rPr>
            </w:pPr>
            <w:r>
              <w:rPr>
                <w:caps/>
                <w:sz w:val="20"/>
              </w:rPr>
              <w:t>/s/ Gibson, Dunn &amp; Crutcher LLP</w:t>
            </w:r>
          </w:p>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5" w:name="exh_231.htm"/>
      <w:bookmarkStart w:id="6" w:name="ksexh_231"/>
      <w:bookmarkEnd w:id="5"/>
      <w:bookmarkEnd w:id="6"/>
      <w:r>
        <w:rPr>
          <w:b/>
        </w:rPr>
        <w:t>Exhibit 23.1</w:t>
      </w:r>
      <w:r>
        <w:br w:type="page"/>
      </w:r>
    </w:p>
    <w:p>
      <w:pPr>
        <w:pStyle w:val="TextBody"/>
        <w:bidi w:val="0"/>
        <w:spacing w:before="0" w:after="283"/>
        <w:jc w:val="left"/>
        <w:rPr/>
      </w:pPr>
      <w:r>
        <w:rPr/>
        <w:t> </w:t>
      </w:r>
    </w:p>
    <w:p>
      <w:pPr>
        <w:pStyle w:val="TextBody"/>
        <w:bidi w:val="0"/>
        <w:spacing w:before="0" w:after="0"/>
        <w:ind w:left="0" w:right="0" w:firstLine="720"/>
        <w:jc w:val="center"/>
        <w:rPr>
          <w:b/>
          <w:sz w:val="20"/>
        </w:rPr>
      </w:pPr>
      <w:r>
        <w:rPr>
          <w:b/>
          <w:sz w:val="20"/>
        </w:rPr>
        <w:t>Consent of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consent to the incorporation by reference in the Registration Statement (Form S-8) pertaining to the Stock Incentive Plan (as Amended and Restated as of April 20, 2026) of BioCryst Pharmaceuticals, Inc. of our reports dated February 26, 2026, with respect to the consolidated financial statements of BioCryst Pharmaceuticals, Inc. and the effectiveness of internal control over financial reporting of BioCryst Pharmaceuticals, Inc. included in its Annual Report (Form 10-K) for the year ended December 31, 2025, filed with the Securities and Exchange Commission.</w:t>
      </w:r>
    </w:p>
    <w:p>
      <w:pPr>
        <w:pStyle w:val="TextBody"/>
        <w:bidi w:val="0"/>
        <w:spacing w:before="0" w:after="0"/>
        <w:ind w:left="0" w:right="0" w:hanging="0"/>
        <w:jc w:val="left"/>
        <w:rPr/>
      </w:pPr>
      <w:r>
        <w:rPr/>
        <w:t> </w:t>
      </w:r>
    </w:p>
    <w:p>
      <w:pPr>
        <w:pStyle w:val="TextBody"/>
        <w:bidi w:val="0"/>
        <w:spacing w:before="0" w:after="0"/>
        <w:ind w:left="5760" w:right="0" w:firstLine="720"/>
        <w:jc w:val="right"/>
        <w:rPr>
          <w:sz w:val="20"/>
        </w:rPr>
      </w:pPr>
      <w:r>
        <w:rPr>
          <w:sz w:val="20"/>
        </w:rPr>
        <w:t>/s/ Ernst &amp; Young LLP</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Raleigh, North Carolina</w:t>
      </w:r>
    </w:p>
    <w:p>
      <w:pPr>
        <w:pStyle w:val="TextBody"/>
        <w:bidi w:val="0"/>
        <w:spacing w:before="0" w:after="0"/>
        <w:ind w:left="0" w:right="0" w:hanging="0"/>
        <w:jc w:val="left"/>
        <w:rPr>
          <w:sz w:val="20"/>
        </w:rPr>
      </w:pPr>
      <w:r>
        <w:rPr>
          <w:sz w:val="20"/>
        </w:rPr>
        <w:t>August 5, 2026</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7" w:name="exh_107.htm"/>
      <w:bookmarkStart w:id="8" w:name="ksexh_107"/>
      <w:bookmarkEnd w:id="7"/>
      <w:bookmarkEnd w:id="8"/>
      <w:r>
        <w:rPr>
          <w:b/>
          <w:sz w:val="20"/>
        </w:rPr>
        <w:t>Exhibit 107</w:t>
      </w:r>
      <w:r>
        <w:br w:type="page"/>
      </w:r>
    </w:p>
    <w:tbl>
      <w:tblPr>
        <w:tblW w:w="3740" w:type="dxa"/>
        <w:jc w:val="left"/>
        <w:tblInd w:w="0" w:type="dxa"/>
        <w:tblLayout w:type="fixed"/>
        <w:tblCellMar>
          <w:top w:w="28" w:type="dxa"/>
          <w:left w:w="28" w:type="dxa"/>
          <w:bottom w:w="28" w:type="dxa"/>
          <w:right w:w="28" w:type="dxa"/>
        </w:tblCellMar>
      </w:tblPr>
      <w:tblGrid>
        <w:gridCol w:w="3586"/>
        <w:gridCol w:w="154"/>
      </w:tblGrid>
      <w:tr>
        <w:trPr/>
        <w:tc>
          <w:tcPr>
            <w:tcW w:w="3740" w:type="dxa"/>
            <w:gridSpan w:val="2"/>
            <w:tcBorders/>
            <w:vAlign w:val="center"/>
          </w:tcPr>
          <w:p>
            <w:pPr>
              <w:pStyle w:val="TableContents"/>
              <w:bidi w:val="0"/>
              <w:spacing w:before="0" w:after="283"/>
              <w:jc w:val="left"/>
              <w:rPr>
                <w:sz w:val="20"/>
              </w:rPr>
            </w:pPr>
            <w:r>
              <w:rPr>
                <w:b/>
                <w:sz w:val="20"/>
              </w:rPr>
              <w:t>Calculation of Filing Fee Tables</w:t>
            </w:r>
            <w:r>
              <w:rPr>
                <w:sz w:val="20"/>
              </w:rPr>
              <w:t xml:space="preserve"> </w:t>
            </w:r>
          </w:p>
        </w:tc>
      </w:tr>
      <w:tr>
        <w:trPr/>
        <w:tc>
          <w:tcPr>
            <w:tcW w:w="3586" w:type="dxa"/>
            <w:tcBorders/>
            <w:vAlign w:val="center"/>
          </w:tcPr>
          <w:p>
            <w:pPr>
              <w:pStyle w:val="TableContents"/>
              <w:bidi w:val="0"/>
              <w:spacing w:before="0" w:after="283"/>
              <w:jc w:val="left"/>
              <w:rPr>
                <w:b/>
                <w:sz w:val="20"/>
              </w:rPr>
            </w:pPr>
            <w:r>
              <w:rPr>
                <w:b/>
                <w:sz w:val="20"/>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b/>
                <w:sz w:val="20"/>
              </w:rPr>
            </w:pPr>
            <w:r>
              <w:rPr>
                <w:b/>
                <w:sz w:val="20"/>
              </w:rPr>
              <w:t xml:space="preserve">BIOCRYST PHARMACEUTICALS INC </w:t>
            </w:r>
          </w:p>
        </w:tc>
        <w:tc>
          <w:tcPr>
            <w:tcW w:w="154" w:type="dxa"/>
            <w:tcBorders/>
          </w:tcPr>
          <w:p>
            <w:pPr>
              <w:pStyle w:val="TableContents"/>
              <w:bidi w:val="0"/>
              <w:spacing w:before="0" w:after="283"/>
              <w:jc w:val="left"/>
              <w:rPr>
                <w:sz w:val="4"/>
                <w:szCs w:val="4"/>
              </w:rPr>
            </w:pPr>
            <w:r>
              <w:rPr>
                <w:sz w:val="4"/>
                <w:szCs w:val="4"/>
              </w:rPr>
            </w:r>
          </w:p>
        </w:tc>
      </w:tr>
    </w:tbl>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Heading"/>
              <w:bidi w:val="0"/>
              <w:spacing w:before="0" w:after="0"/>
              <w:ind w:left="0" w:right="0" w:hanging="0"/>
              <w:jc w:val="center"/>
              <w:rPr>
                <w:sz w:val="20"/>
              </w:rPr>
            </w:pPr>
            <w:r>
              <w:rPr>
                <w:b/>
                <w:sz w:val="20"/>
              </w:rPr>
              <w:t>Table 1: Newly Registered Securities</w:t>
            </w:r>
            <w:r>
              <w:rPr>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233"/>
        <w:gridCol w:w="893"/>
        <w:gridCol w:w="1154"/>
        <w:gridCol w:w="1225"/>
        <w:gridCol w:w="1126"/>
        <w:gridCol w:w="1445"/>
        <w:gridCol w:w="1721"/>
        <w:gridCol w:w="998"/>
        <w:gridCol w:w="1410"/>
      </w:tblGrid>
      <w:tr>
        <w:trPr/>
        <w:tc>
          <w:tcPr>
            <w:tcW w:w="233" w:type="dxa"/>
            <w:tcBorders/>
            <w:shd w:fill="9ADAF6" w:val="clear"/>
            <w:vAlign w:val="center"/>
          </w:tcPr>
          <w:p>
            <w:pPr>
              <w:pStyle w:val="TableHeading"/>
              <w:bidi w:val="0"/>
              <w:spacing w:before="0" w:after="283"/>
              <w:rPr>
                <w:sz w:val="4"/>
                <w:szCs w:val="4"/>
              </w:rPr>
            </w:pPr>
            <w:r>
              <w:rPr>
                <w:sz w:val="4"/>
                <w:szCs w:val="4"/>
              </w:rPr>
            </w:r>
          </w:p>
        </w:tc>
        <w:tc>
          <w:tcPr>
            <w:tcW w:w="893"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1154" w:type="dxa"/>
            <w:tcBorders/>
            <w:shd w:fill="9ADAF6" w:val="clear"/>
            <w:vAlign w:val="center"/>
          </w:tcPr>
          <w:p>
            <w:pPr>
              <w:pStyle w:val="TableHeading"/>
              <w:bidi w:val="0"/>
              <w:spacing w:before="0" w:after="0"/>
              <w:ind w:left="0" w:right="0" w:hanging="0"/>
              <w:jc w:val="center"/>
              <w:rPr>
                <w:b/>
                <w:sz w:val="20"/>
              </w:rPr>
            </w:pPr>
            <w:r>
              <w:rPr>
                <w:b/>
                <w:sz w:val="20"/>
              </w:rPr>
              <w:t xml:space="preserve">Security Class Title </w:t>
            </w:r>
          </w:p>
        </w:tc>
        <w:tc>
          <w:tcPr>
            <w:tcW w:w="1225" w:type="dxa"/>
            <w:tcBorders/>
            <w:shd w:fill="9ADAF6" w:val="clear"/>
            <w:vAlign w:val="center"/>
          </w:tcPr>
          <w:p>
            <w:pPr>
              <w:pStyle w:val="TableHeading"/>
              <w:bidi w:val="0"/>
              <w:spacing w:before="0" w:after="0"/>
              <w:ind w:left="0" w:right="0" w:hanging="0"/>
              <w:jc w:val="center"/>
              <w:rPr>
                <w:sz w:val="20"/>
              </w:rPr>
            </w:pPr>
            <w:r>
              <w:rPr>
                <w:b/>
                <w:sz w:val="20"/>
              </w:rPr>
              <w:t>Fee Calculation Rule</w:t>
            </w:r>
            <w:r>
              <w:rPr>
                <w:sz w:val="20"/>
              </w:rPr>
              <w:t xml:space="preserve"> </w:t>
            </w:r>
          </w:p>
        </w:tc>
        <w:tc>
          <w:tcPr>
            <w:tcW w:w="1126" w:type="dxa"/>
            <w:tcBorders/>
            <w:shd w:fill="9ADAF6" w:val="clear"/>
            <w:vAlign w:val="center"/>
          </w:tcPr>
          <w:p>
            <w:pPr>
              <w:pStyle w:val="TableHeading"/>
              <w:bidi w:val="0"/>
              <w:spacing w:before="0" w:after="0"/>
              <w:ind w:left="0" w:right="0" w:hanging="0"/>
              <w:jc w:val="center"/>
              <w:rPr>
                <w:sz w:val="20"/>
              </w:rPr>
            </w:pPr>
            <w:r>
              <w:rPr>
                <w:b/>
                <w:sz w:val="20"/>
              </w:rPr>
              <w:t>Amount Registered</w:t>
            </w:r>
            <w:r>
              <w:rPr>
                <w:sz w:val="20"/>
              </w:rPr>
              <w:t xml:space="preserve"> </w:t>
            </w:r>
          </w:p>
        </w:tc>
        <w:tc>
          <w:tcPr>
            <w:tcW w:w="1445" w:type="dxa"/>
            <w:tcBorders/>
            <w:shd w:fill="9ADAF6" w:val="clear"/>
            <w:vAlign w:val="center"/>
          </w:tcPr>
          <w:p>
            <w:pPr>
              <w:pStyle w:val="TableHeading"/>
              <w:bidi w:val="0"/>
              <w:spacing w:before="0" w:after="0"/>
              <w:ind w:left="0" w:right="0" w:hanging="0"/>
              <w:jc w:val="center"/>
              <w:rPr>
                <w:sz w:val="20"/>
              </w:rPr>
            </w:pPr>
            <w:r>
              <w:rPr>
                <w:b/>
                <w:sz w:val="20"/>
              </w:rPr>
              <w:t>Proposed Maximum Offering Price Per Unit</w:t>
            </w:r>
            <w:r>
              <w:rPr>
                <w:sz w:val="20"/>
              </w:rPr>
              <w:t xml:space="preserve"> </w:t>
            </w:r>
          </w:p>
        </w:tc>
        <w:tc>
          <w:tcPr>
            <w:tcW w:w="1721" w:type="dxa"/>
            <w:tcBorders/>
            <w:shd w:fill="9ADAF6" w:val="clear"/>
            <w:vAlign w:val="center"/>
          </w:tcPr>
          <w:p>
            <w:pPr>
              <w:pStyle w:val="TableHeading"/>
              <w:bidi w:val="0"/>
              <w:spacing w:before="0" w:after="0"/>
              <w:ind w:left="0" w:right="0" w:hanging="0"/>
              <w:jc w:val="center"/>
              <w:rPr>
                <w:sz w:val="20"/>
              </w:rPr>
            </w:pPr>
            <w:r>
              <w:rPr>
                <w:b/>
                <w:sz w:val="20"/>
              </w:rPr>
              <w:t>Maximum Aggregate Offering Price</w:t>
            </w:r>
            <w:r>
              <w:rPr>
                <w:sz w:val="20"/>
              </w:rPr>
              <w:t xml:space="preserve"> </w:t>
            </w:r>
          </w:p>
        </w:tc>
        <w:tc>
          <w:tcPr>
            <w:tcW w:w="998" w:type="dxa"/>
            <w:tcBorders/>
            <w:shd w:fill="9ADAF6" w:val="clear"/>
            <w:vAlign w:val="center"/>
          </w:tcPr>
          <w:p>
            <w:pPr>
              <w:pStyle w:val="TableHeading"/>
              <w:bidi w:val="0"/>
              <w:spacing w:before="0" w:after="0"/>
              <w:ind w:left="0" w:right="0" w:hanging="0"/>
              <w:jc w:val="center"/>
              <w:rPr>
                <w:sz w:val="20"/>
              </w:rPr>
            </w:pPr>
            <w:r>
              <w:rPr>
                <w:b/>
                <w:sz w:val="20"/>
              </w:rPr>
              <w:t>Fee Rate</w:t>
            </w:r>
            <w:r>
              <w:rPr>
                <w:sz w:val="20"/>
              </w:rPr>
              <w:t xml:space="preserve"> </w:t>
            </w:r>
          </w:p>
        </w:tc>
        <w:tc>
          <w:tcPr>
            <w:tcW w:w="1410" w:type="dxa"/>
            <w:tcBorders/>
            <w:shd w:fill="9ADAF6" w:val="clear"/>
            <w:vAlign w:val="center"/>
          </w:tcPr>
          <w:p>
            <w:pPr>
              <w:pStyle w:val="TableHeading"/>
              <w:bidi w:val="0"/>
              <w:spacing w:before="0" w:after="0"/>
              <w:ind w:left="0" w:right="0" w:hanging="0"/>
              <w:jc w:val="center"/>
              <w:rPr>
                <w:sz w:val="20"/>
              </w:rPr>
            </w:pPr>
            <w:r>
              <w:rPr>
                <w:b/>
                <w:sz w:val="20"/>
              </w:rPr>
              <w:t>Amount of Registration Fee</w:t>
            </w:r>
            <w:r>
              <w:rPr>
                <w:sz w:val="20"/>
              </w:rPr>
              <w:t xml:space="preserve"> </w:t>
            </w:r>
          </w:p>
        </w:tc>
      </w:tr>
      <w:tr>
        <w:trPr/>
        <w:tc>
          <w:tcPr>
            <w:tcW w:w="233" w:type="dxa"/>
            <w:tcBorders/>
            <w:shd w:fill="E7E7E2" w:val="clear"/>
            <w:vAlign w:val="center"/>
          </w:tcPr>
          <w:p>
            <w:pPr>
              <w:pStyle w:val="TableContents"/>
              <w:bidi w:val="0"/>
              <w:spacing w:before="0" w:after="283"/>
              <w:jc w:val="center"/>
              <w:rPr>
                <w:sz w:val="20"/>
              </w:rPr>
            </w:pPr>
            <w:r>
              <w:rPr>
                <w:sz w:val="20"/>
              </w:rPr>
              <w:t xml:space="preserve">1 </w:t>
            </w:r>
          </w:p>
        </w:tc>
        <w:tc>
          <w:tcPr>
            <w:tcW w:w="893" w:type="dxa"/>
            <w:tcBorders/>
            <w:shd w:fill="E7E7E2" w:val="clear"/>
            <w:vAlign w:val="center"/>
          </w:tcPr>
          <w:p>
            <w:pPr>
              <w:pStyle w:val="TableContents"/>
              <w:bidi w:val="0"/>
              <w:spacing w:before="0" w:after="283"/>
              <w:jc w:val="left"/>
              <w:rPr>
                <w:sz w:val="20"/>
              </w:rPr>
            </w:pPr>
            <w:r>
              <w:rPr>
                <w:sz w:val="20"/>
              </w:rPr>
              <w:t xml:space="preserve">Equity </w:t>
            </w:r>
          </w:p>
        </w:tc>
        <w:tc>
          <w:tcPr>
            <w:tcW w:w="1154" w:type="dxa"/>
            <w:tcBorders/>
            <w:shd w:fill="E7E7E2" w:val="clear"/>
            <w:vAlign w:val="center"/>
          </w:tcPr>
          <w:p>
            <w:pPr>
              <w:pStyle w:val="TableContents"/>
              <w:bidi w:val="0"/>
              <w:spacing w:before="0" w:after="283"/>
              <w:jc w:val="left"/>
              <w:rPr>
                <w:sz w:val="20"/>
              </w:rPr>
            </w:pPr>
            <w:r>
              <w:rPr>
                <w:sz w:val="20"/>
              </w:rPr>
              <w:t xml:space="preserve">Common Stock, $0.01 par value </w:t>
            </w:r>
          </w:p>
        </w:tc>
        <w:tc>
          <w:tcPr>
            <w:tcW w:w="1225" w:type="dxa"/>
            <w:tcBorders/>
            <w:shd w:fill="E7E7E2" w:val="clear"/>
            <w:vAlign w:val="center"/>
          </w:tcPr>
          <w:p>
            <w:pPr>
              <w:pStyle w:val="TableContents"/>
              <w:bidi w:val="0"/>
              <w:spacing w:before="0" w:after="283"/>
              <w:jc w:val="center"/>
              <w:rPr>
                <w:sz w:val="20"/>
              </w:rPr>
            </w:pPr>
            <w:r>
              <w:rPr>
                <w:sz w:val="20"/>
              </w:rPr>
              <w:t xml:space="preserve">Other </w:t>
            </w:r>
          </w:p>
        </w:tc>
        <w:tc>
          <w:tcPr>
            <w:tcW w:w="1126" w:type="dxa"/>
            <w:tcBorders/>
            <w:shd w:fill="E7E7E2" w:val="clear"/>
            <w:vAlign w:val="center"/>
          </w:tcPr>
          <w:p>
            <w:pPr>
              <w:pStyle w:val="TableContents"/>
              <w:bidi w:val="0"/>
              <w:spacing w:before="0" w:after="283"/>
              <w:jc w:val="right"/>
              <w:rPr>
                <w:sz w:val="20"/>
              </w:rPr>
            </w:pPr>
            <w:r>
              <w:rPr>
                <w:sz w:val="20"/>
              </w:rPr>
              <w:t xml:space="preserve">7,000,000 </w:t>
            </w:r>
          </w:p>
        </w:tc>
        <w:tc>
          <w:tcPr>
            <w:tcW w:w="1445" w:type="dxa"/>
            <w:tcBorders/>
            <w:shd w:fill="E7E7E2" w:val="clear"/>
            <w:vAlign w:val="center"/>
          </w:tcPr>
          <w:p>
            <w:pPr>
              <w:pStyle w:val="TableContents"/>
              <w:bidi w:val="0"/>
              <w:spacing w:before="0" w:after="283"/>
              <w:jc w:val="right"/>
              <w:rPr>
                <w:sz w:val="20"/>
              </w:rPr>
            </w:pPr>
            <w:r>
              <w:rPr>
                <w:sz w:val="20"/>
              </w:rPr>
              <w:t xml:space="preserve">$ 9.09 </w:t>
            </w:r>
          </w:p>
        </w:tc>
        <w:tc>
          <w:tcPr>
            <w:tcW w:w="1721" w:type="dxa"/>
            <w:tcBorders/>
            <w:shd w:fill="E7E7E2" w:val="clear"/>
            <w:vAlign w:val="center"/>
          </w:tcPr>
          <w:p>
            <w:pPr>
              <w:pStyle w:val="TableContents"/>
              <w:bidi w:val="0"/>
              <w:spacing w:before="0" w:after="283"/>
              <w:jc w:val="right"/>
              <w:rPr>
                <w:sz w:val="20"/>
              </w:rPr>
            </w:pPr>
            <w:r>
              <w:rPr>
                <w:sz w:val="20"/>
              </w:rPr>
              <w:t xml:space="preserve">$ 63,630,000.00 </w:t>
            </w:r>
          </w:p>
        </w:tc>
        <w:tc>
          <w:tcPr>
            <w:tcW w:w="998" w:type="dxa"/>
            <w:tcBorders/>
            <w:shd w:fill="E7E7E2" w:val="clear"/>
            <w:vAlign w:val="center"/>
          </w:tcPr>
          <w:p>
            <w:pPr>
              <w:pStyle w:val="TableContents"/>
              <w:bidi w:val="0"/>
              <w:spacing w:before="0" w:after="283"/>
              <w:jc w:val="right"/>
              <w:rPr>
                <w:sz w:val="20"/>
              </w:rPr>
            </w:pPr>
            <w:r>
              <w:rPr>
                <w:sz w:val="20"/>
              </w:rPr>
              <w:t xml:space="preserve">0.0001381 </w:t>
            </w:r>
          </w:p>
        </w:tc>
        <w:tc>
          <w:tcPr>
            <w:tcW w:w="1410" w:type="dxa"/>
            <w:tcBorders/>
            <w:shd w:fill="E7E7E2" w:val="clear"/>
            <w:vAlign w:val="center"/>
          </w:tcPr>
          <w:p>
            <w:pPr>
              <w:pStyle w:val="TableContents"/>
              <w:bidi w:val="0"/>
              <w:spacing w:before="0" w:after="283"/>
              <w:jc w:val="right"/>
              <w:rPr>
                <w:sz w:val="20"/>
              </w:rPr>
            </w:pPr>
            <w:r>
              <w:rPr>
                <w:sz w:val="20"/>
              </w:rPr>
              <w:t xml:space="preserve">$ 8,787.30 </w:t>
            </w:r>
          </w:p>
        </w:tc>
      </w:tr>
      <w:tr>
        <w:trPr/>
        <w:tc>
          <w:tcPr>
            <w:tcW w:w="4631" w:type="dxa"/>
            <w:gridSpan w:val="5"/>
            <w:tcBorders/>
            <w:vAlign w:val="center"/>
          </w:tcPr>
          <w:p>
            <w:pPr>
              <w:pStyle w:val="TableContents"/>
              <w:bidi w:val="0"/>
              <w:spacing w:before="0" w:after="0"/>
              <w:ind w:left="0" w:right="0" w:hanging="0"/>
              <w:jc w:val="right"/>
              <w:rPr>
                <w:sz w:val="20"/>
              </w:rPr>
            </w:pPr>
            <w:r>
              <w:rPr>
                <w:sz w:val="20"/>
              </w:rPr>
              <w:t>Total Offering Amounts:</w:t>
            </w:r>
          </w:p>
        </w:tc>
        <w:tc>
          <w:tcPr>
            <w:tcW w:w="144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0"/>
              <w:ind w:left="0" w:right="0" w:hanging="0"/>
              <w:jc w:val="right"/>
              <w:rPr>
                <w:sz w:val="20"/>
              </w:rPr>
            </w:pPr>
            <w:bookmarkStart w:id="9" w:name="MaxAggtOfferingPrice"/>
            <w:bookmarkEnd w:id="9"/>
            <w:r>
              <w:rPr>
                <w:sz w:val="20"/>
              </w:rPr>
              <w:t xml:space="preserve">$ 63,630,000.00 </w:t>
            </w:r>
          </w:p>
        </w:tc>
        <w:tc>
          <w:tcPr>
            <w:tcW w:w="998" w:type="dxa"/>
            <w:tcBorders/>
            <w:vAlign w:val="center"/>
          </w:tcPr>
          <w:p>
            <w:pPr>
              <w:pStyle w:val="TableContents"/>
              <w:bidi w:val="0"/>
              <w:spacing w:before="0" w:after="283"/>
              <w:jc w:val="left"/>
              <w:rPr>
                <w:sz w:val="4"/>
                <w:szCs w:val="4"/>
              </w:rPr>
            </w:pPr>
            <w:r>
              <w:rPr>
                <w:sz w:val="4"/>
                <w:szCs w:val="4"/>
              </w:rPr>
            </w:r>
          </w:p>
        </w:tc>
        <w:tc>
          <w:tcPr>
            <w:tcW w:w="1410" w:type="dxa"/>
            <w:tcBorders/>
            <w:tcMar>
              <w:top w:w="0" w:type="dxa"/>
              <w:left w:w="0" w:type="dxa"/>
              <w:bottom w:w="0" w:type="dxa"/>
              <w:right w:w="0" w:type="dxa"/>
            </w:tcMar>
            <w:vAlign w:val="center"/>
          </w:tcPr>
          <w:p>
            <w:pPr>
              <w:pStyle w:val="TableContents"/>
              <w:bidi w:val="0"/>
              <w:spacing w:before="0" w:after="0"/>
              <w:ind w:left="0" w:right="0" w:hanging="0"/>
              <w:jc w:val="right"/>
              <w:rPr>
                <w:sz w:val="20"/>
              </w:rPr>
            </w:pPr>
            <w:bookmarkStart w:id="10" w:name="TotalFeeAmt"/>
            <w:bookmarkEnd w:id="10"/>
            <w:r>
              <w:rPr>
                <w:sz w:val="20"/>
              </w:rPr>
              <w:t xml:space="preserve">$ 8,787.30 </w:t>
            </w:r>
          </w:p>
        </w:tc>
      </w:tr>
      <w:tr>
        <w:trPr/>
        <w:tc>
          <w:tcPr>
            <w:tcW w:w="4631" w:type="dxa"/>
            <w:gridSpan w:val="5"/>
            <w:tcBorders/>
            <w:vAlign w:val="center"/>
          </w:tcPr>
          <w:p>
            <w:pPr>
              <w:pStyle w:val="TableContents"/>
              <w:bidi w:val="0"/>
              <w:spacing w:before="0" w:after="0"/>
              <w:ind w:left="0" w:right="0" w:hanging="0"/>
              <w:jc w:val="right"/>
              <w:rPr>
                <w:sz w:val="20"/>
              </w:rPr>
            </w:pPr>
            <w:r>
              <w:rPr>
                <w:sz w:val="20"/>
              </w:rPr>
              <w:t xml:space="preserve">Total Fee Offsets: </w:t>
            </w:r>
          </w:p>
        </w:tc>
        <w:tc>
          <w:tcPr>
            <w:tcW w:w="144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0"/>
              <w:ind w:left="0" w:right="0" w:hanging="0"/>
              <w:jc w:val="right"/>
              <w:rPr>
                <w:sz w:val="20"/>
              </w:rPr>
            </w:pPr>
            <w:bookmarkStart w:id="11" w:name="TotalOffsetAmt"/>
            <w:bookmarkEnd w:id="11"/>
            <w:r>
              <w:rPr>
                <w:sz w:val="20"/>
              </w:rPr>
              <w:t xml:space="preserve">$ 0.00 </w:t>
            </w:r>
          </w:p>
        </w:tc>
      </w:tr>
      <w:tr>
        <w:trPr/>
        <w:tc>
          <w:tcPr>
            <w:tcW w:w="4631" w:type="dxa"/>
            <w:gridSpan w:val="5"/>
            <w:tcBorders/>
            <w:vAlign w:val="center"/>
          </w:tcPr>
          <w:p>
            <w:pPr>
              <w:pStyle w:val="TableContents"/>
              <w:bidi w:val="0"/>
              <w:spacing w:before="0" w:after="0"/>
              <w:ind w:left="0" w:right="0" w:hanging="0"/>
              <w:jc w:val="right"/>
              <w:rPr>
                <w:sz w:val="20"/>
              </w:rPr>
            </w:pPr>
            <w:r>
              <w:rPr>
                <w:sz w:val="20"/>
              </w:rPr>
              <w:t xml:space="preserve">Net Fee Due: </w:t>
            </w:r>
          </w:p>
        </w:tc>
        <w:tc>
          <w:tcPr>
            <w:tcW w:w="144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0"/>
              <w:ind w:left="0" w:right="0" w:hanging="0"/>
              <w:jc w:val="right"/>
              <w:rPr>
                <w:sz w:val="20"/>
              </w:rPr>
            </w:pPr>
            <w:bookmarkStart w:id="12" w:name="NetFeeAmt"/>
            <w:bookmarkEnd w:id="12"/>
            <w:r>
              <w:rPr>
                <w:sz w:val="20"/>
              </w:rPr>
              <w:t xml:space="preserve">$ 8,787.30 </w:t>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sz w:val="20"/>
              </w:rPr>
            </w:pPr>
            <w:r>
              <w:rPr>
                <w:b/>
                <w:sz w:val="20"/>
              </w:rPr>
              <w:t>Offering Note</w:t>
            </w:r>
            <w:r>
              <w:rPr>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2"/>
        <w:gridCol w:w="8710"/>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sz w:val="20"/>
              </w:rPr>
            </w:pPr>
            <w:r>
              <w:rPr>
                <w:sz w:val="20"/>
              </w:rPr>
              <w:t xml:space="preserve">This Registration Statement on Form S-8 covers (i) 7,000,000 shares of Common Stock authorized to be issued under the Stock Incentive Plan (as amended and restated as of April 20, 2026) and (ii) pursuant to Rule 416(a) under the Securities Act of 1933, as amended (the "Securities Act"), any additional shares of Common Stock which become issuable by reason of any stock dividend, stock split, recapitalization or other similar transaction effected without the receipt of consideration which results in an increase in the number of the Registrant's outstanding shares of Common Stock. The proposed maximum offering price per unit is estimated solely for the purpose of calculating the registration fee pursuant to Rules 457(c) and 457(h) under the Securities Act, based on the average of the high and low prices of the Registrant's Common Stock on July 31, 2026, as reported on The Nasdaq Global Select Market.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5132" w:type="dxa"/>
        <w:jc w:val="left"/>
        <w:tblInd w:w="0" w:type="dxa"/>
        <w:tblLayout w:type="fixed"/>
        <w:tblCellMar>
          <w:top w:w="28" w:type="dxa"/>
          <w:left w:w="28" w:type="dxa"/>
          <w:bottom w:w="28" w:type="dxa"/>
          <w:right w:w="28" w:type="dxa"/>
        </w:tblCellMar>
      </w:tblPr>
      <w:tblGrid>
        <w:gridCol w:w="3466"/>
        <w:gridCol w:w="1666"/>
      </w:tblGrid>
      <w:tr>
        <w:trPr/>
        <w:tc>
          <w:tcPr>
            <w:tcW w:w="3466" w:type="dxa"/>
            <w:tcBorders/>
            <w:vAlign w:val="center"/>
          </w:tcPr>
          <w:p>
            <w:pPr>
              <w:pStyle w:val="TableHeading"/>
              <w:bidi w:val="0"/>
              <w:spacing w:before="0" w:after="283"/>
              <w:jc w:val="left"/>
              <w:rPr>
                <w:sz w:val="20"/>
              </w:rPr>
            </w:pPr>
            <w:r>
              <w:rPr>
                <w:b/>
                <w:sz w:val="20"/>
              </w:rPr>
              <w:t>Table 2: Fee Offset Claims and Sources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751"/>
        <w:gridCol w:w="109"/>
        <w:gridCol w:w="991"/>
        <w:gridCol w:w="616"/>
        <w:gridCol w:w="796"/>
        <w:gridCol w:w="631"/>
        <w:gridCol w:w="616"/>
        <w:gridCol w:w="826"/>
        <w:gridCol w:w="1006"/>
        <w:gridCol w:w="1006"/>
        <w:gridCol w:w="1006"/>
        <w:gridCol w:w="1006"/>
        <w:gridCol w:w="691"/>
        <w:gridCol w:w="154"/>
      </w:tblGrid>
      <w:tr>
        <w:trPr/>
        <w:tc>
          <w:tcPr>
            <w:tcW w:w="75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91" w:type="dxa"/>
            <w:tcBorders/>
            <w:shd w:fill="9ADAF6" w:val="clear"/>
            <w:vAlign w:val="center"/>
          </w:tcPr>
          <w:p>
            <w:pPr>
              <w:pStyle w:val="TableHeading"/>
              <w:bidi w:val="0"/>
              <w:spacing w:before="0" w:after="283"/>
              <w:rPr>
                <w:sz w:val="20"/>
              </w:rPr>
            </w:pPr>
            <w:r>
              <w:rPr>
                <w:sz w:val="20"/>
              </w:rPr>
              <w:t xml:space="preserve">Registrant or Filer Name </w:t>
            </w:r>
          </w:p>
        </w:tc>
        <w:tc>
          <w:tcPr>
            <w:tcW w:w="616" w:type="dxa"/>
            <w:tcBorders/>
            <w:shd w:fill="9ADAF6" w:val="clear"/>
            <w:vAlign w:val="center"/>
          </w:tcPr>
          <w:p>
            <w:pPr>
              <w:pStyle w:val="TableHeading"/>
              <w:bidi w:val="0"/>
              <w:spacing w:before="0" w:after="283"/>
              <w:rPr>
                <w:sz w:val="20"/>
              </w:rPr>
            </w:pPr>
            <w:r>
              <w:rPr>
                <w:sz w:val="20"/>
              </w:rPr>
              <w:t xml:space="preserve">Form or Filing Type </w:t>
            </w:r>
          </w:p>
        </w:tc>
        <w:tc>
          <w:tcPr>
            <w:tcW w:w="796" w:type="dxa"/>
            <w:tcBorders/>
            <w:shd w:fill="9ADAF6" w:val="clear"/>
            <w:vAlign w:val="center"/>
          </w:tcPr>
          <w:p>
            <w:pPr>
              <w:pStyle w:val="TableHeading"/>
              <w:bidi w:val="0"/>
              <w:spacing w:before="0" w:after="283"/>
              <w:rPr>
                <w:sz w:val="20"/>
              </w:rPr>
            </w:pPr>
            <w:r>
              <w:rPr>
                <w:sz w:val="20"/>
              </w:rPr>
              <w:t xml:space="preserve">File Number </w:t>
            </w:r>
          </w:p>
        </w:tc>
        <w:tc>
          <w:tcPr>
            <w:tcW w:w="631" w:type="dxa"/>
            <w:tcBorders/>
            <w:shd w:fill="9ADAF6" w:val="clear"/>
            <w:vAlign w:val="center"/>
          </w:tcPr>
          <w:p>
            <w:pPr>
              <w:pStyle w:val="TableHeading"/>
              <w:bidi w:val="0"/>
              <w:spacing w:before="0" w:after="283"/>
              <w:rPr>
                <w:sz w:val="20"/>
              </w:rPr>
            </w:pPr>
            <w:r>
              <w:rPr>
                <w:sz w:val="20"/>
              </w:rPr>
              <w:t xml:space="preserve">Initial Filing Date </w:t>
            </w:r>
          </w:p>
        </w:tc>
        <w:tc>
          <w:tcPr>
            <w:tcW w:w="616" w:type="dxa"/>
            <w:tcBorders/>
            <w:shd w:fill="9ADAF6" w:val="clear"/>
            <w:vAlign w:val="center"/>
          </w:tcPr>
          <w:p>
            <w:pPr>
              <w:pStyle w:val="TableHeading"/>
              <w:bidi w:val="0"/>
              <w:spacing w:before="0" w:after="283"/>
              <w:rPr>
                <w:sz w:val="20"/>
              </w:rPr>
            </w:pPr>
            <w:r>
              <w:rPr>
                <w:sz w:val="20"/>
              </w:rPr>
              <w:t xml:space="preserve">Filing Date </w:t>
            </w:r>
          </w:p>
        </w:tc>
        <w:tc>
          <w:tcPr>
            <w:tcW w:w="826" w:type="dxa"/>
            <w:tcBorders/>
            <w:shd w:fill="9ADAF6" w:val="clear"/>
            <w:vAlign w:val="center"/>
          </w:tcPr>
          <w:p>
            <w:pPr>
              <w:pStyle w:val="TableHeading"/>
              <w:bidi w:val="0"/>
              <w:spacing w:before="0" w:after="283"/>
              <w:rPr>
                <w:sz w:val="20"/>
              </w:rPr>
            </w:pPr>
            <w:r>
              <w:rPr>
                <w:sz w:val="20"/>
              </w:rPr>
              <w:t xml:space="preserve">Fee Offset Claimed </w:t>
            </w:r>
          </w:p>
        </w:tc>
        <w:tc>
          <w:tcPr>
            <w:tcW w:w="1006" w:type="dxa"/>
            <w:tcBorders/>
            <w:shd w:fill="9ADAF6" w:val="clear"/>
            <w:vAlign w:val="center"/>
          </w:tcPr>
          <w:p>
            <w:pPr>
              <w:pStyle w:val="TableHeading"/>
              <w:bidi w:val="0"/>
              <w:spacing w:before="0" w:after="283"/>
              <w:rPr>
                <w:sz w:val="20"/>
              </w:rPr>
            </w:pPr>
            <w:r>
              <w:rPr>
                <w:sz w:val="20"/>
              </w:rPr>
              <w:t xml:space="preserve">Security Type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Security Title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Securities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Aggregate Offering Amount Associated with Fee Offset Claimed </w:t>
            </w:r>
          </w:p>
        </w:tc>
        <w:tc>
          <w:tcPr>
            <w:tcW w:w="691" w:type="dxa"/>
            <w:tcBorders/>
            <w:shd w:fill="9ADAF6" w:val="clear"/>
            <w:vAlign w:val="center"/>
          </w:tcPr>
          <w:p>
            <w:pPr>
              <w:pStyle w:val="TableHeading"/>
              <w:bidi w:val="0"/>
              <w:spacing w:before="0" w:after="283"/>
              <w:rPr>
                <w:sz w:val="20"/>
              </w:rPr>
            </w:pPr>
            <w:r>
              <w:rPr>
                <w:sz w:val="20"/>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 457(p)</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82796/000162828026012240/bcrx-20251231.htm" TargetMode="External"/><Relationship Id="rId3" Type="http://schemas.openxmlformats.org/officeDocument/2006/relationships/hyperlink" Target="https://www.sec.gov/ix?doc=/Archives/edgar/data/0000882796/000162828026026822/bcrx-20260423.htm" TargetMode="External"/><Relationship Id="rId4" Type="http://schemas.openxmlformats.org/officeDocument/2006/relationships/hyperlink" Target="https://www.sec.gov/ix?doc=/Archives/edgar/data/0000882796/000162828026031238/bcrx-20260331.htm" TargetMode="External"/><Relationship Id="rId5" Type="http://schemas.openxmlformats.org/officeDocument/2006/relationships/hyperlink" Target="https://www.sec.gov/ix?doc=/Archives/edgar/data/882796/000162828026053300/bcrx-20260630.htm" TargetMode="External"/><Relationship Id="rId6" Type="http://schemas.openxmlformats.org/officeDocument/2006/relationships/hyperlink" Target="https://www.sec.gov/ix?doc=/Archives/edgar/data/0000882796/000117184326000213/f8k_011226.htm" TargetMode="External"/><Relationship Id="rId7" Type="http://schemas.openxmlformats.org/officeDocument/2006/relationships/hyperlink" Target="https://www.sec.gov/ix?doc=/Archives/edgar/data/0000882796/000114036126002200/ef20063492_8k.htm" TargetMode="External"/><Relationship Id="rId8" Type="http://schemas.openxmlformats.org/officeDocument/2006/relationships/hyperlink" Target="https://www.sec.gov/ix?doc=/Archives/edgar/data/0000882796/000117184326000405/f8ka_012226.htm" TargetMode="External"/><Relationship Id="rId9" Type="http://schemas.openxmlformats.org/officeDocument/2006/relationships/hyperlink" Target="https://www.sec.gov/ix?doc=/Archives/edgar/data/0000882796/000117184326004096/f8k_061226.htm" TargetMode="External"/><Relationship Id="rId10" Type="http://schemas.openxmlformats.org/officeDocument/2006/relationships/hyperlink" Target="https://www.sec.gov/ix?doc=/Archives/edgar/data/0000882796/000117184326004333/f8k_062926.htm" TargetMode="External"/><Relationship Id="rId11" Type="http://schemas.openxmlformats.org/officeDocument/2006/relationships/hyperlink" Target="https://www.sec.gov/ix?doc=/Archives/edgar/data/0000882796/000117184326005168/f8ka_080326.htm" TargetMode="External"/><Relationship Id="rId12" Type="http://schemas.openxmlformats.org/officeDocument/2006/relationships/hyperlink" Target="https://www.sec.gov/Archives/edgar/data/882796/000117184321001411/ex_230468.htm" TargetMode="External"/><Relationship Id="rId13" Type="http://schemas.openxmlformats.org/officeDocument/2006/relationships/hyperlink" Target="https://www.sec.gov/Archives/edgar/data/882796/000117184326004096/exh_101.htm" TargetMode="External"/><Relationship Id="rId14" Type="http://schemas.openxmlformats.org/officeDocument/2006/relationships/hyperlink" Target="https://www.sec.gov/Archives/edgar/data/882796/000117184326004096/exh_101.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3730</Words>
  <Characters>20199</Characters>
  <CharactersWithSpaces>24096</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