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4"/>
          <w:szCs w:val="24"/>
          <w:color w:val="auto"/>
        </w:rPr>
      </w:pPr>
    </w:p>
    <w:p>
      <w:pPr>
        <w:spacing w:after="0" w:line="223" w:lineRule="exact"/>
        <w:rPr>
          <w:sz w:val="24"/>
          <w:szCs w:val="24"/>
          <w:color w:val="auto"/>
        </w:rPr>
      </w:pPr>
    </w:p>
    <w:p>
      <w:pPr>
        <w:ind w:left="4120" w:right="2160" w:hanging="4112"/>
        <w:spacing w:after="0" w:line="501" w:lineRule="auto"/>
        <w:tabs>
          <w:tab w:leader="none" w:pos="46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6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499" w:right="239" w:bottom="1440" w:gutter="0" w:footer="0" w:header="0"/>
        </w:sectPr>
      </w:pPr>
    </w:p>
    <w:p>
      <w:pPr>
        <w:spacing w:after="0" w:line="23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340" w:space="540"/>
            <w:col w:w="160" w:space="540"/>
            <w:col w:w="3840"/>
          </w:cols>
          <w:pgMar w:left="240" w:top="499" w:right="239" w:bottom="1440" w:gutter="0" w:footer="0" w:header="0"/>
          <w:type w:val="continuous"/>
        </w:sectPr>
      </w:pPr>
    </w:p>
    <w:p>
      <w:pPr>
        <w:spacing w:after="0" w:line="4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Commission File Number 000-23186</w:t>
      </w:r>
    </w:p>
    <w:p>
      <w:pPr>
        <w:spacing w:after="0" w:line="229"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________________________</w:t>
      </w:r>
    </w:p>
    <w:p>
      <w:pPr>
        <w:sectPr>
          <w:pgSz w:w="11900" w:h="16838" w:orient="portrait"/>
          <w:cols w:equalWidth="0" w:num="1">
            <w:col w:w="11420"/>
          </w:cols>
          <w:pgMar w:left="240" w:top="499" w:right="239"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20"/>
        <w:spacing w:after="0"/>
        <w:rPr>
          <w:sz w:val="20"/>
          <w:szCs w:val="20"/>
          <w:color w:val="auto"/>
        </w:rPr>
      </w:pPr>
      <w:r>
        <w:rPr>
          <w:rFonts w:ascii="Arial" w:cs="Arial" w:eastAsia="Arial" w:hAnsi="Arial"/>
          <w:sz w:val="16"/>
          <w:szCs w:val="16"/>
          <w:b w:val="1"/>
          <w:bCs w:val="1"/>
          <w:color w:val="auto"/>
        </w:rPr>
        <w:t>(State of other jurisdiction of</w:t>
      </w:r>
    </w:p>
    <w:p>
      <w:pPr>
        <w:spacing w:after="0" w:line="32"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62-1413174</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7140" w:space="720"/>
            <w:col w:w="3560"/>
          </w:cols>
          <w:pgMar w:left="240" w:top="499"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4505 Emperor Blvd., Suite 200, Durham, North Carolina 27703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(919) 859-1302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22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Title of Each Class</w:t>
            </w:r>
          </w:p>
        </w:tc>
        <w:tc>
          <w:tcPr>
            <w:tcW w:w="6000" w:type="dxa"/>
            <w:vAlign w:val="bottom"/>
            <w:gridSpan w:val="4"/>
          </w:tcPr>
          <w:p>
            <w:pPr>
              <w:jc w:val="right"/>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0"/>
        </w:trPr>
        <w:tc>
          <w:tcPr>
            <w:tcW w:w="21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540" w:type="dxa"/>
            <w:vAlign w:val="bottom"/>
            <w:gridSpan w:val="3"/>
            <w:shd w:val="clear" w:color="auto" w:fill="000000"/>
          </w:tcPr>
          <w:p>
            <w:pPr>
              <w:spacing w:after="0" w:line="20" w:lineRule="exact"/>
              <w:rPr>
                <w:sz w:val="1"/>
                <w:szCs w:val="1"/>
                <w:color w:val="auto"/>
              </w:rPr>
            </w:pPr>
          </w:p>
        </w:tc>
      </w:tr>
      <w:tr>
        <w:trPr>
          <w:trHeight w:val="237"/>
        </w:trPr>
        <w:tc>
          <w:tcPr>
            <w:tcW w:w="43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0"/>
              </w:rPr>
              <w:t>Common Stock, $.01 Par Value</w:t>
            </w:r>
          </w:p>
        </w:tc>
        <w:tc>
          <w:tcPr>
            <w:tcW w:w="2460" w:type="dxa"/>
            <w:vAlign w:val="bottom"/>
          </w:tcPr>
          <w:p>
            <w:pPr>
              <w:spacing w:after="0"/>
              <w:rPr>
                <w:sz w:val="20"/>
                <w:szCs w:val="20"/>
                <w:color w:val="auto"/>
              </w:rPr>
            </w:pPr>
          </w:p>
        </w:tc>
        <w:tc>
          <w:tcPr>
            <w:tcW w:w="35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The NASDAQ Global Select Market</w:t>
            </w:r>
          </w:p>
        </w:tc>
      </w:tr>
      <w:tr>
        <w:trPr>
          <w:trHeight w:val="432"/>
        </w:trPr>
        <w:tc>
          <w:tcPr>
            <w:tcW w:w="2140" w:type="dxa"/>
            <w:vAlign w:val="bottom"/>
          </w:tcPr>
          <w:p>
            <w:pPr>
              <w:spacing w:after="0"/>
              <w:rPr>
                <w:sz w:val="24"/>
                <w:szCs w:val="24"/>
                <w:color w:val="auto"/>
              </w:rPr>
            </w:pPr>
          </w:p>
        </w:tc>
        <w:tc>
          <w:tcPr>
            <w:tcW w:w="662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87"/>
              </w:rPr>
              <w:t>Title of class</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2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88"/>
              </w:rPr>
              <w:t>None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60" w:type="dxa"/>
            <w:vAlign w:val="bottom"/>
          </w:tcPr>
          <w:p>
            <w:pPr>
              <w:jc w:val="center"/>
              <w:ind w:left="210"/>
              <w:spacing w:after="0"/>
              <w:rPr>
                <w:sz w:val="20"/>
                <w:szCs w:val="20"/>
                <w:color w:val="auto"/>
              </w:rPr>
            </w:pPr>
            <w:r>
              <w:rPr>
                <w:rFonts w:ascii="Arial" w:cs="Arial" w:eastAsia="Arial" w:hAnsi="Arial"/>
                <w:sz w:val="18"/>
                <w:szCs w:val="18"/>
                <w:color w:val="auto"/>
                <w:w w:val="89"/>
              </w:rPr>
              <w:t>________________________</w:t>
            </w:r>
          </w:p>
        </w:tc>
        <w:tc>
          <w:tcPr>
            <w:tcW w:w="1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2"/>
        </w:trPr>
        <w:tc>
          <w:tcPr>
            <w:tcW w:w="8760" w:type="dxa"/>
            <w:vAlign w:val="bottom"/>
            <w:gridSpan w:val="5"/>
          </w:tcPr>
          <w:p>
            <w:pPr>
              <w:spacing w:after="0"/>
              <w:rPr>
                <w:sz w:val="20"/>
                <w:szCs w:val="20"/>
                <w:color w:val="auto"/>
              </w:rPr>
            </w:pPr>
            <w:r>
              <w:rPr>
                <w:rFonts w:ascii="Arial" w:cs="Arial" w:eastAsia="Arial" w:hAnsi="Arial"/>
                <w:sz w:val="18"/>
                <w:szCs w:val="18"/>
                <w:color w:val="auto"/>
                <w:w w:val="92"/>
              </w:rPr>
              <w:t>Indicate by a check mark if the registrant is a well-known seasoned issuer, as defined in Rule 405 of the Securities Act.</w:t>
            </w:r>
          </w:p>
        </w:tc>
        <w:tc>
          <w:tcPr>
            <w:tcW w:w="70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880" w:type="dxa"/>
            <w:vAlign w:val="bottom"/>
          </w:tcPr>
          <w:p>
            <w:pPr>
              <w:jc w:val="right"/>
              <w:ind w:right="29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760" w:type="dxa"/>
            <w:vAlign w:val="bottom"/>
            <w:gridSpan w:val="5"/>
          </w:tcPr>
          <w:p>
            <w:pPr>
              <w:spacing w:after="0"/>
              <w:rPr>
                <w:sz w:val="20"/>
                <w:szCs w:val="20"/>
                <w:color w:val="auto"/>
              </w:rPr>
            </w:pPr>
            <w:r>
              <w:rPr>
                <w:rFonts w:ascii="Arial" w:cs="Arial" w:eastAsia="Arial" w:hAnsi="Arial"/>
                <w:sz w:val="18"/>
                <w:szCs w:val="18"/>
                <w:color w:val="auto"/>
                <w:w w:val="91"/>
              </w:rPr>
              <w:t>Indicate by a check mark if the registrant is not required to file reports pursuant to Section 13 or Section 15(d) of the Act.</w:t>
            </w:r>
          </w:p>
        </w:tc>
        <w:tc>
          <w:tcPr>
            <w:tcW w:w="700" w:type="dxa"/>
            <w:vAlign w:val="bottom"/>
          </w:tcPr>
          <w:p>
            <w:pPr>
              <w:ind w:left="16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880" w:type="dxa"/>
            <w:vAlign w:val="bottom"/>
          </w:tcPr>
          <w:p>
            <w:pPr>
              <w:jc w:val="right"/>
              <w:ind w:right="13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a check mark whether the registrant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type w:val="continuous"/>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6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6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40" w:type="dxa"/>
            <w:vAlign w:val="bottom"/>
          </w:tcPr>
          <w:p>
            <w:pPr>
              <w:ind w:left="276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000" w:val="left"/>
          <w:tab w:leader="none" w:pos="8740" w:val="left"/>
        </w:tabs>
        <w:rPr>
          <w:sz w:val="20"/>
          <w:szCs w:val="20"/>
          <w:color w:val="auto"/>
        </w:rPr>
      </w:pPr>
      <w:r>
        <w:rPr>
          <w:rFonts w:ascii="Arial" w:cs="Arial" w:eastAsia="Arial" w:hAnsi="Arial"/>
          <w:sz w:val="17"/>
          <w:szCs w:val="17"/>
          <w:color w:val="auto"/>
        </w:rPr>
        <w:t>Indicate by a check mark whether the registrant is a shell company (as defined in Exchange Act Rule 12b-2).</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5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Registrant estimates that the aggregate market value of the Common Stock on June 30, 2018 (based upon the closing price shown on the NASDAQ Global Select Market on June 30, 2018) held by non-affiliates was $559,268,095.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January 31, 2019 was 110,176,627 shares.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Portions of the Registrant’s definitive Proxy Statement to be filed in connection with the solicitation of proxies for its 2019 Annual Meeting of Stockholders are incorporated by reference into Items 10, 11, 12, 13 and 14 under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540" w:type="dxa"/>
            <w:vAlign w:val="bottom"/>
            <w:gridSpan w:val="20"/>
          </w:tcPr>
          <w:p>
            <w:pPr>
              <w:ind w:left="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12"/>
        </w:trPr>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40" w:type="dxa"/>
            <w:vAlign w:val="bottom"/>
            <w:tcBorders>
              <w:top w:val="single" w:sz="8" w:color="auto"/>
            </w:tcBorders>
            <w:gridSpan w:val="5"/>
          </w:tcPr>
          <w:p>
            <w:pPr>
              <w:spacing w:after="0"/>
              <w:rPr>
                <w:sz w:val="24"/>
                <w:szCs w:val="24"/>
                <w:color w:val="auto"/>
              </w:rPr>
            </w:pPr>
          </w:p>
        </w:tc>
        <w:tc>
          <w:tcPr>
            <w:tcW w:w="4560" w:type="dxa"/>
            <w:vAlign w:val="bottom"/>
            <w:gridSpan w:val="7"/>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BUSINESS</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1A. RISK FACTORS</w:t>
              </w:r>
            </w:hyperlink>
          </w:p>
        </w:tc>
        <w:tc>
          <w:tcPr>
            <w:tcW w:w="9180" w:type="dxa"/>
            <w:vAlign w:val="bottom"/>
            <w:gridSpan w:val="29"/>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19</w:t>
              </w:r>
            </w:hyperlink>
          </w:p>
        </w:tc>
      </w:tr>
      <w:tr>
        <w:trPr>
          <w:trHeight w:val="196"/>
        </w:trPr>
        <w:tc>
          <w:tcPr>
            <w:tcW w:w="36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ITEM 1B. UNRESOLVED STAFF COMMENTS</w:t>
              </w:r>
            </w:hyperlink>
          </w:p>
        </w:tc>
        <w:tc>
          <w:tcPr>
            <w:tcW w:w="7620" w:type="dxa"/>
            <w:vAlign w:val="bottom"/>
            <w:gridSpan w:val="21"/>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2. PROPERTIES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LEGAL PROCEEDINGS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MINE SAFETY DISCLOSURES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412"/>
        </w:trPr>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PART II</w:t>
              </w:r>
            </w:hyperlink>
          </w:p>
        </w:tc>
        <w:tc>
          <w:tcPr>
            <w:tcW w:w="5360" w:type="dxa"/>
            <w:vAlign w:val="bottom"/>
            <w:gridSpan w:val="11"/>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11020" w:type="dxa"/>
            <w:vAlign w:val="bottom"/>
            <w:tcBorders>
              <w:bottom w:val="single" w:sz="8" w:color="0000EE"/>
            </w:tcBorders>
            <w:gridSpan w:val="35"/>
          </w:tcPr>
          <w:p>
            <w:pPr>
              <w:spacing w:after="0"/>
              <w:rPr>
                <w:rFonts w:ascii="Arial" w:cs="Arial" w:eastAsia="Arial" w:hAnsi="Arial"/>
                <w:sz w:val="18"/>
                <w:szCs w:val="18"/>
                <w:color w:val="0000EE"/>
                <w:w w:val="96"/>
              </w:rPr>
            </w:pPr>
            <w:hyperlink w:anchor="page41">
              <w:r>
                <w:rPr>
                  <w:rFonts w:ascii="Arial" w:cs="Arial" w:eastAsia="Arial" w:hAnsi="Arial"/>
                  <w:sz w:val="18"/>
                  <w:szCs w:val="18"/>
                  <w:color w:val="0000EE"/>
                  <w:w w:val="96"/>
                </w:rPr>
                <w:t>ITEM 5. MARKET FOR REGISTRANT’S COMMON EQUITY, RELATED STOCKHOLDER MATTERS AND ISSUER PURCHASES OF EQUITY</w:t>
              </w:r>
            </w:hyperlink>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SECURITIES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310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ITEM 6. SELECTED FINANCIAL DATA</w:t>
              </w:r>
            </w:hyperlink>
          </w:p>
        </w:tc>
        <w:tc>
          <w:tcPr>
            <w:tcW w:w="8140" w:type="dxa"/>
            <w:vAlign w:val="bottom"/>
            <w:gridSpan w:val="2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ITEM 7. MANAGEMENT’S DISCUSSION AND ANALYSIS OF FINANCIAL CONDITION AND RESULTS OF OPERATIONS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196"/>
        </w:trPr>
        <w:tc>
          <w:tcPr>
            <w:tcW w:w="95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7A. QUANTITATIVE AND QUALITATIVE DISCLOSURES ABOUT MARKET RISK</w:t>
              </w:r>
            </w:hyperlink>
          </w:p>
        </w:tc>
        <w:tc>
          <w:tcPr>
            <w:tcW w:w="1660" w:type="dxa"/>
            <w:vAlign w:val="bottom"/>
            <w:gridSpan w:val="4"/>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196"/>
        </w:trPr>
        <w:tc>
          <w:tcPr>
            <w:tcW w:w="694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8. FINANCIAL STATEMENTS AND SUPPLEMENTARY DATA</w:t>
              </w:r>
            </w:hyperlink>
          </w:p>
        </w:tc>
        <w:tc>
          <w:tcPr>
            <w:tcW w:w="4300" w:type="dxa"/>
            <w:vAlign w:val="bottom"/>
            <w:gridSpan w:val="6"/>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9. CHANGES IN AND DISAGREEMENTS WITH ACCOUNTANTS ON ACCOUNTING AND FINANCIAL DISCLOSURE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r>
      <w:tr>
        <w:trPr>
          <w:trHeight w:val="196"/>
        </w:trPr>
        <w:tc>
          <w:tcPr>
            <w:tcW w:w="97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9A. CONTROLS AND PROCEDURES</w:t>
              </w:r>
            </w:hyperlink>
          </w:p>
        </w:tc>
        <w:tc>
          <w:tcPr>
            <w:tcW w:w="14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r>
      <w:tr>
        <w:trPr>
          <w:trHeight w:val="196"/>
        </w:trPr>
        <w:tc>
          <w:tcPr>
            <w:tcW w:w="34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ITEM 9B. OTHER INFORMATION</w:t>
              </w:r>
            </w:hyperlink>
          </w:p>
        </w:tc>
        <w:tc>
          <w:tcPr>
            <w:tcW w:w="7840" w:type="dxa"/>
            <w:vAlign w:val="bottom"/>
            <w:gridSpan w:val="2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3">
              <w:r>
                <w:rPr>
                  <w:rFonts w:ascii="Arial" w:cs="Arial" w:eastAsia="Arial" w:hAnsi="Arial"/>
                  <w:sz w:val="18"/>
                  <w:szCs w:val="18"/>
                  <w:color w:val="0000EE"/>
                  <w:w w:val="79"/>
                </w:rPr>
                <w:t>83</w:t>
              </w:r>
            </w:hyperlink>
          </w:p>
        </w:tc>
      </w:tr>
      <w:tr>
        <w:trPr>
          <w:trHeight w:val="412"/>
        </w:trPr>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84">
              <w:r>
                <w:rPr>
                  <w:rFonts w:ascii="Arial" w:cs="Arial" w:eastAsia="Arial" w:hAnsi="Arial"/>
                  <w:sz w:val="18"/>
                  <w:szCs w:val="18"/>
                  <w:b w:val="1"/>
                  <w:bCs w:val="1"/>
                  <w:color w:val="0000EE"/>
                </w:rPr>
                <w:t>PART III</w:t>
              </w:r>
            </w:hyperlink>
          </w:p>
        </w:tc>
        <w:tc>
          <w:tcPr>
            <w:tcW w:w="5320" w:type="dxa"/>
            <w:vAlign w:val="bottom"/>
            <w:gridSpan w:val="9"/>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656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ITEM 10. DIRECTORS, EXECUTIVE OFFICERS AND CORPORATE GOVERNANCE</w:t>
              </w:r>
            </w:hyperlink>
          </w:p>
        </w:tc>
        <w:tc>
          <w:tcPr>
            <w:tcW w:w="4680" w:type="dxa"/>
            <w:vAlign w:val="bottom"/>
            <w:gridSpan w:val="8"/>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11. EXECUTIVE COMPENSATION</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20"/>
        </w:trPr>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000" w:type="dxa"/>
            <w:vAlign w:val="bottom"/>
            <w:tcBorders>
              <w:bottom w:val="single" w:sz="8" w:color="0000EE"/>
            </w:tcBorders>
            <w:gridSpan w:val="34"/>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ITEM 12. SECURITY OWNERSHIP OF CERTAIN BENEFICIAL OWNERS AND MANAGEMENT AND RELATED STOCKHOLDER MATTERS</w:t>
              </w:r>
            </w:hyperlink>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13. CERTAIN RELATIONSHIPS AND RELATED TRANSACTIONS, AND DIRECTOR INDEPENDENCE</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196"/>
        </w:trPr>
        <w:tc>
          <w:tcPr>
            <w:tcW w:w="846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ITEM 14. PRINCIPAL ACCOUNTING FEES AND SERVICES</w:t>
              </w:r>
            </w:hyperlink>
          </w:p>
        </w:tc>
        <w:tc>
          <w:tcPr>
            <w:tcW w:w="278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412"/>
        </w:trPr>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16"/>
          </w:tcPr>
          <w:p>
            <w:pPr>
              <w:jc w:val="center"/>
              <w:ind w:right="5340"/>
              <w:spacing w:after="0"/>
              <w:rPr>
                <w:rFonts w:ascii="Arial" w:cs="Arial" w:eastAsia="Arial" w:hAnsi="Arial"/>
                <w:sz w:val="18"/>
                <w:szCs w:val="18"/>
                <w:b w:val="1"/>
                <w:bCs w:val="1"/>
                <w:color w:val="0000EE"/>
                <w:w w:val="98"/>
              </w:rPr>
            </w:pPr>
            <w:hyperlink w:anchor="page84">
              <w:r>
                <w:rPr>
                  <w:rFonts w:ascii="Arial" w:cs="Arial" w:eastAsia="Arial" w:hAnsi="Arial"/>
                  <w:sz w:val="18"/>
                  <w:szCs w:val="18"/>
                  <w:b w:val="1"/>
                  <w:bCs w:val="1"/>
                  <w:color w:val="0000EE"/>
                  <w:w w:val="98"/>
                </w:rPr>
                <w:t>PART IV</w:t>
              </w:r>
            </w:hyperlink>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412"/>
        </w:trPr>
        <w:tc>
          <w:tcPr>
            <w:tcW w:w="5200" w:type="dxa"/>
            <w:vAlign w:val="bottom"/>
            <w:gridSpan w:val="20"/>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ITEM 15. 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5340" w:type="dxa"/>
            <w:vAlign w:val="bottom"/>
            <w:gridSpan w:val="10"/>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84</w:t>
              </w:r>
            </w:hyperlink>
          </w:p>
        </w:tc>
      </w:tr>
      <w:tr>
        <w:trPr>
          <w:trHeight w:val="196"/>
        </w:trPr>
        <w:tc>
          <w:tcPr>
            <w:tcW w:w="2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ITEM 16. FORM 10-K SUMMARY</w:t>
              </w:r>
            </w:hyperlink>
          </w:p>
        </w:tc>
        <w:tc>
          <w:tcPr>
            <w:tcW w:w="2140" w:type="dxa"/>
            <w:vAlign w:val="bottom"/>
            <w:tcBorders>
              <w:top w:val="single" w:sz="8" w:color="0000EE"/>
            </w:tcBorders>
            <w:gridSpan w:val="9"/>
          </w:tcPr>
          <w:p>
            <w:pPr>
              <w:spacing w:after="0"/>
              <w:rPr>
                <w:sz w:val="17"/>
                <w:szCs w:val="17"/>
                <w:color w:val="auto"/>
              </w:rPr>
            </w:pPr>
          </w:p>
        </w:tc>
        <w:tc>
          <w:tcPr>
            <w:tcW w:w="6440" w:type="dxa"/>
            <w:vAlign w:val="bottom"/>
            <w:gridSpan w:val="18"/>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92">
              <w:r>
                <w:rPr>
                  <w:rFonts w:ascii="Arial" w:cs="Arial" w:eastAsia="Arial" w:hAnsi="Arial"/>
                  <w:sz w:val="18"/>
                  <w:szCs w:val="18"/>
                  <w:color w:val="0000EE"/>
                  <w:w w:val="79"/>
                </w:rPr>
                <w:t>93</w:t>
              </w:r>
            </w:hyperlink>
          </w:p>
        </w:tc>
      </w:tr>
      <w:tr>
        <w:trPr>
          <w:trHeight w:val="196"/>
        </w:trPr>
        <w:tc>
          <w:tcPr>
            <w:tcW w:w="11240" w:type="dxa"/>
            <w:vAlign w:val="bottom"/>
            <w:gridSpan w:val="36"/>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180" w:type="dxa"/>
            <w:vAlign w:val="bottom"/>
            <w:gridSpan w:val="2"/>
          </w:tcPr>
          <w:p>
            <w:pPr>
              <w:jc w:val="right"/>
              <w:spacing w:after="0" w:line="196" w:lineRule="exact"/>
              <w:rPr>
                <w:rFonts w:ascii="Arial" w:cs="Arial" w:eastAsia="Arial" w:hAnsi="Arial"/>
                <w:sz w:val="18"/>
                <w:szCs w:val="18"/>
                <w:color w:val="0000EE"/>
                <w:w w:val="79"/>
              </w:rPr>
            </w:pPr>
            <w:hyperlink w:anchor="page93">
              <w:r>
                <w:rPr>
                  <w:rFonts w:ascii="Arial" w:cs="Arial" w:eastAsia="Arial" w:hAnsi="Arial"/>
                  <w:sz w:val="18"/>
                  <w:szCs w:val="18"/>
                  <w:color w:val="0000EE"/>
                  <w:w w:val="79"/>
                </w:rPr>
                <w:t>93</w:t>
              </w:r>
            </w:hyperlink>
          </w:p>
        </w:tc>
      </w:tr>
      <w:tr>
        <w:trPr>
          <w:trHeight w:val="196"/>
        </w:trPr>
        <w:tc>
          <w:tcPr>
            <w:tcW w:w="1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EX-21</w:t>
              </w:r>
            </w:hyperlink>
          </w:p>
        </w:tc>
        <w:tc>
          <w:tcPr>
            <w:tcW w:w="10140" w:type="dxa"/>
            <w:vAlign w:val="bottom"/>
            <w:gridSpan w:val="32"/>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580" w:type="dxa"/>
            <w:vAlign w:val="bottom"/>
            <w:gridSpan w:val="3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1060" w:type="dxa"/>
            <w:vAlign w:val="bottom"/>
            <w:gridSpan w:val="3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EX-23</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ind w:left="18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EX-31.1</w:t>
        </w:r>
      </w:hyperlink>
    </w:p>
    <w:p>
      <w:pPr>
        <w:spacing w:after="0" w:line="23" w:lineRule="exact"/>
        <w:rPr>
          <w:sz w:val="20"/>
          <w:szCs w:val="20"/>
          <w:color w:val="auto"/>
        </w:rPr>
      </w:pPr>
    </w:p>
    <w:p>
      <w:pPr>
        <w:ind w:left="180"/>
        <w:spacing w:after="0"/>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EX-31.2</w:t>
        </w:r>
      </w:hyperlink>
    </w:p>
    <w:p>
      <w:pPr>
        <w:spacing w:after="0" w:line="9" w:lineRule="exact"/>
        <w:rPr>
          <w:sz w:val="20"/>
          <w:szCs w:val="20"/>
          <w:color w:val="auto"/>
        </w:rPr>
      </w:pPr>
    </w:p>
    <w:p>
      <w:pPr>
        <w:ind w:left="18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EX-32.1</w:t>
        </w:r>
      </w:hyperlink>
    </w:p>
    <w:p>
      <w:pPr>
        <w:spacing w:after="0" w:line="9" w:lineRule="exact"/>
        <w:rPr>
          <w:sz w:val="20"/>
          <w:szCs w:val="20"/>
          <w:color w:val="auto"/>
        </w:rPr>
      </w:pPr>
    </w:p>
    <w:p>
      <w:pPr>
        <w:ind w:left="18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EX-32.2</w:t>
        </w:r>
      </w:hyperlink>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EX-101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This report includes forward-looking statements within the meaning of Section 21E of the Securities Exchange Act of 1934, as amended,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We have based these forward-looking statements on our current expectations about future events. While we believe these expectations are reasonable, forward-looking statements are inherently subject to risks and uncertainties, many of which are beyond our control. Our actual results may differ materially from those suggested by these forward-looking statements for various reasons, including those discussed in this report under the heading “Risk Factors.”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When used in the report, unless otherwise indicated, “we,” “our,” “us,” the “Company” and “BioCryst” refer to BioCryst Pharmaceuticals,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are a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Structure-guided drug design is a drug discovery approach by which we design synthetic compounds from detailed structural knowledge of the active sites of enzyme targets associated with particular diseases. We use X-ray crystallography, computer modeling of molecular structures and advanced chemistry techniques to focus on the three-dimensional molecular structure and active site characteristics of the enzymes that control cellular biology. Enzymes are proteins that act as catalysts for many vital biological reactions. Our goal generally is to design a compound that will fit in the active site of an enzyme and thereby prevent its catalytic activity. Molecules from our discovery efforts which are commercially available or that are in active development are summarized in the table below:</w:t>
      </w:r>
    </w:p>
    <w:p>
      <w:pPr>
        <w:sectPr>
          <w:pgSz w:w="11900" w:h="16838" w:orient="portrait"/>
          <w:cols w:equalWidth="0" w:num="1">
            <w:col w:w="11420"/>
          </w:cols>
          <w:pgMar w:left="240" w:top="580" w:right="239"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Drug/Drug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9"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RAPIVAB</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(peramivir injection)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ALPIVAB</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(peramivir injection)</w:t>
      </w:r>
    </w:p>
    <w:p>
      <w:pPr>
        <w:spacing w:after="0" w:line="381"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RAPIACTA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(peramivir injection)</w:t>
      </w:r>
    </w:p>
    <w:p>
      <w:pPr>
        <w:spacing w:after="0" w:line="200" w:lineRule="exact"/>
        <w:rPr>
          <w:sz w:val="20"/>
          <w:szCs w:val="20"/>
          <w:color w:val="auto"/>
        </w:rPr>
      </w:pPr>
    </w:p>
    <w:p>
      <w:pPr>
        <w:spacing w:after="0" w:line="222"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PERAMIFLU</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(peramivir injection)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BCX7353</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ind w:left="660"/>
              <w:spacing w:after="0"/>
              <w:rPr>
                <w:sz w:val="20"/>
                <w:szCs w:val="20"/>
                <w:color w:val="auto"/>
              </w:rPr>
            </w:pPr>
            <w:r>
              <w:rPr>
                <w:rFonts w:ascii="Arial" w:cs="Arial" w:eastAsia="Arial" w:hAnsi="Arial"/>
                <w:sz w:val="18"/>
                <w:szCs w:val="18"/>
                <w:color w:val="auto"/>
              </w:rPr>
              <w:t>Therapeutic</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520"/>
              <w:spacing w:after="0"/>
              <w:rPr>
                <w:sz w:val="20"/>
                <w:szCs w:val="20"/>
                <w:color w:val="auto"/>
              </w:rPr>
            </w:pPr>
            <w:r>
              <w:rPr>
                <w:rFonts w:ascii="Arial" w:cs="Arial" w:eastAsia="Arial" w:hAnsi="Arial"/>
                <w:sz w:val="18"/>
                <w:szCs w:val="18"/>
                <w:color w:val="auto"/>
              </w:rPr>
              <w:t>Drug Class</w:t>
            </w:r>
          </w:p>
        </w:tc>
        <w:tc>
          <w:tcPr>
            <w:tcW w:w="2160" w:type="dxa"/>
            <w:vAlign w:val="bottom"/>
          </w:tcPr>
          <w:p>
            <w:pPr>
              <w:ind w:left="820"/>
              <w:spacing w:after="0"/>
              <w:rPr>
                <w:sz w:val="20"/>
                <w:szCs w:val="20"/>
                <w:color w:val="auto"/>
              </w:rPr>
            </w:pPr>
            <w:r>
              <w:rPr>
                <w:rFonts w:ascii="Arial" w:cs="Arial" w:eastAsia="Arial" w:hAnsi="Arial"/>
                <w:sz w:val="18"/>
                <w:szCs w:val="18"/>
                <w:color w:val="auto"/>
              </w:rPr>
              <w:t>Area(s)</w:t>
            </w:r>
          </w:p>
        </w:tc>
        <w:tc>
          <w:tcPr>
            <w:tcW w:w="120" w:type="dxa"/>
            <w:vAlign w:val="bottom"/>
          </w:tcPr>
          <w:p>
            <w:pPr>
              <w:spacing w:after="0"/>
              <w:rPr>
                <w:sz w:val="20"/>
                <w:szCs w:val="20"/>
                <w:color w:val="auto"/>
              </w:rPr>
            </w:pPr>
          </w:p>
        </w:tc>
        <w:tc>
          <w:tcPr>
            <w:tcW w:w="1140" w:type="dxa"/>
            <w:vAlign w:val="bottom"/>
          </w:tcPr>
          <w:p>
            <w:pPr>
              <w:ind w:left="360"/>
              <w:spacing w:after="0"/>
              <w:rPr>
                <w:sz w:val="20"/>
                <w:szCs w:val="20"/>
                <w:color w:val="auto"/>
              </w:rPr>
            </w:pPr>
            <w:r>
              <w:rPr>
                <w:rFonts w:ascii="Arial" w:cs="Arial" w:eastAsia="Arial" w:hAnsi="Arial"/>
                <w:sz w:val="18"/>
                <w:szCs w:val="18"/>
                <w:color w:val="auto"/>
              </w:rPr>
              <w:t>Phase</w:t>
            </w:r>
          </w:p>
        </w:tc>
        <w:tc>
          <w:tcPr>
            <w:tcW w:w="100" w:type="dxa"/>
            <w:vAlign w:val="bottom"/>
          </w:tcPr>
          <w:p>
            <w:pPr>
              <w:spacing w:after="0"/>
              <w:rPr>
                <w:sz w:val="20"/>
                <w:szCs w:val="20"/>
                <w:color w:val="auto"/>
              </w:rPr>
            </w:pPr>
          </w:p>
        </w:tc>
        <w:tc>
          <w:tcPr>
            <w:tcW w:w="1700" w:type="dxa"/>
            <w:vAlign w:val="bottom"/>
          </w:tcPr>
          <w:p>
            <w:pPr>
              <w:ind w:left="620"/>
              <w:spacing w:after="0"/>
              <w:rPr>
                <w:sz w:val="20"/>
                <w:szCs w:val="20"/>
                <w:color w:val="auto"/>
              </w:rPr>
            </w:pPr>
            <w:r>
              <w:rPr>
                <w:rFonts w:ascii="Arial" w:cs="Arial" w:eastAsia="Arial" w:hAnsi="Arial"/>
                <w:sz w:val="18"/>
                <w:szCs w:val="18"/>
                <w:color w:val="auto"/>
              </w:rPr>
              <w:t>Rights</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Intravenous Neuraminidase Inhibitor</w:t>
            </w:r>
          </w:p>
        </w:tc>
        <w:tc>
          <w:tcPr>
            <w:tcW w:w="120" w:type="dxa"/>
            <w:vAlign w:val="bottom"/>
          </w:tcPr>
          <w:p>
            <w:pPr>
              <w:spacing w:after="0"/>
              <w:rPr>
                <w:sz w:val="16"/>
                <w:szCs w:val="16"/>
                <w:color w:val="auto"/>
              </w:rPr>
            </w:pPr>
          </w:p>
        </w:tc>
        <w:tc>
          <w:tcPr>
            <w:tcW w:w="2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Acute uncomplicated</w:t>
            </w: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Approved</w:t>
            </w: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Seqirus (worldwide,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Influenza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(U.S.,</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3"/>
              </w:rPr>
              <w:t>except Japan, Taiwan,</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Australia &amp;</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Korea and Israel)</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Canada)</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BioCryst retains full</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U.S. Government</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stockpiling rights</w:t>
            </w:r>
          </w:p>
        </w:tc>
      </w:tr>
      <w:tr>
        <w:trPr>
          <w:trHeight w:val="418"/>
        </w:trPr>
        <w:tc>
          <w:tcPr>
            <w:tcW w:w="4000" w:type="dxa"/>
            <w:vAlign w:val="bottom"/>
            <w:gridSpan w:val="3"/>
          </w:tcPr>
          <w:p>
            <w:pPr>
              <w:spacing w:after="0"/>
              <w:rPr>
                <w:sz w:val="20"/>
                <w:szCs w:val="20"/>
                <w:color w:val="auto"/>
              </w:rPr>
            </w:pPr>
            <w:r>
              <w:rPr>
                <w:rFonts w:ascii="Arial" w:cs="Arial" w:eastAsia="Arial" w:hAnsi="Arial"/>
                <w:sz w:val="18"/>
                <w:szCs w:val="18"/>
                <w:color w:val="auto"/>
              </w:rPr>
              <w:t>Intravenous Neuraminidase Inhibitor</w:t>
            </w:r>
          </w:p>
        </w:tc>
        <w:tc>
          <w:tcPr>
            <w:tcW w:w="2160" w:type="dxa"/>
            <w:vAlign w:val="bottom"/>
          </w:tcPr>
          <w:p>
            <w:pPr>
              <w:spacing w:after="0"/>
              <w:rPr>
                <w:sz w:val="20"/>
                <w:szCs w:val="20"/>
                <w:color w:val="auto"/>
              </w:rPr>
            </w:pPr>
            <w:r>
              <w:rPr>
                <w:rFonts w:ascii="Arial" w:cs="Arial" w:eastAsia="Arial" w:hAnsi="Arial"/>
                <w:sz w:val="18"/>
                <w:szCs w:val="18"/>
                <w:color w:val="auto"/>
              </w:rPr>
              <w:t>Acute uncomplicated</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Approved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Seqirus (worldwide,</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Influenza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(European</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3"/>
              </w:rPr>
              <w:t>except Japan, Taiwan,</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Union)</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Korea and Israel)</w:t>
            </w:r>
          </w:p>
        </w:tc>
      </w:tr>
      <w:tr>
        <w:trPr>
          <w:trHeight w:val="418"/>
        </w:trPr>
        <w:tc>
          <w:tcPr>
            <w:tcW w:w="4000" w:type="dxa"/>
            <w:vAlign w:val="bottom"/>
            <w:gridSpan w:val="3"/>
          </w:tcPr>
          <w:p>
            <w:pPr>
              <w:spacing w:after="0"/>
              <w:rPr>
                <w:sz w:val="20"/>
                <w:szCs w:val="20"/>
                <w:color w:val="auto"/>
              </w:rPr>
            </w:pPr>
            <w:r>
              <w:rPr>
                <w:rFonts w:ascii="Arial" w:cs="Arial" w:eastAsia="Arial" w:hAnsi="Arial"/>
                <w:sz w:val="18"/>
                <w:szCs w:val="18"/>
                <w:color w:val="auto"/>
              </w:rPr>
              <w:t>Intravenous Neuraminidase Inhibitor</w:t>
            </w:r>
          </w:p>
        </w:tc>
        <w:tc>
          <w:tcPr>
            <w:tcW w:w="2160" w:type="dxa"/>
            <w:vAlign w:val="bottom"/>
          </w:tcPr>
          <w:p>
            <w:pPr>
              <w:spacing w:after="0"/>
              <w:rPr>
                <w:sz w:val="20"/>
                <w:szCs w:val="20"/>
                <w:color w:val="auto"/>
              </w:rPr>
            </w:pPr>
            <w:r>
              <w:rPr>
                <w:rFonts w:ascii="Arial" w:cs="Arial" w:eastAsia="Arial" w:hAnsi="Arial"/>
                <w:sz w:val="18"/>
                <w:szCs w:val="18"/>
                <w:color w:val="auto"/>
              </w:rPr>
              <w:t>Uncomplicated seasonal</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Approved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Shionogi</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influenza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(Japan &amp;</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(Japan &amp; Taiwan)</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Taiwan)</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58"/>
        </w:trPr>
        <w:tc>
          <w:tcPr>
            <w:tcW w:w="4000" w:type="dxa"/>
            <w:vAlign w:val="bottom"/>
            <w:gridSpan w:val="3"/>
          </w:tcPr>
          <w:p>
            <w:pPr>
              <w:spacing w:after="0"/>
              <w:rPr>
                <w:sz w:val="20"/>
                <w:szCs w:val="20"/>
                <w:color w:val="auto"/>
              </w:rPr>
            </w:pPr>
            <w:r>
              <w:rPr>
                <w:rFonts w:ascii="Arial" w:cs="Arial" w:eastAsia="Arial" w:hAnsi="Arial"/>
                <w:sz w:val="18"/>
                <w:szCs w:val="18"/>
                <w:color w:val="auto"/>
              </w:rPr>
              <w:t>Intravenous Neuraminidase Inhibitor</w:t>
            </w:r>
          </w:p>
        </w:tc>
        <w:tc>
          <w:tcPr>
            <w:tcW w:w="2160" w:type="dxa"/>
            <w:vAlign w:val="bottom"/>
          </w:tcPr>
          <w:p>
            <w:pPr>
              <w:spacing w:after="0"/>
              <w:rPr>
                <w:sz w:val="20"/>
                <w:szCs w:val="20"/>
                <w:color w:val="auto"/>
              </w:rPr>
            </w:pPr>
            <w:r>
              <w:rPr>
                <w:rFonts w:ascii="Arial" w:cs="Arial" w:eastAsia="Arial" w:hAnsi="Arial"/>
                <w:sz w:val="18"/>
                <w:szCs w:val="18"/>
                <w:color w:val="auto"/>
              </w:rPr>
              <w:t>Uncomplicated seasonal</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Approved</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Green Cross</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influenza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(Korea)</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(Korea)</w:t>
            </w:r>
          </w:p>
        </w:tc>
      </w:tr>
      <w:tr>
        <w:trPr>
          <w:trHeight w:val="458"/>
        </w:trPr>
        <w:tc>
          <w:tcPr>
            <w:tcW w:w="4000" w:type="dxa"/>
            <w:vAlign w:val="bottom"/>
            <w:gridSpan w:val="3"/>
          </w:tcPr>
          <w:p>
            <w:pPr>
              <w:spacing w:after="0"/>
              <w:rPr>
                <w:sz w:val="20"/>
                <w:szCs w:val="20"/>
                <w:color w:val="auto"/>
              </w:rPr>
            </w:pPr>
            <w:r>
              <w:rPr>
                <w:rFonts w:ascii="Arial" w:cs="Arial" w:eastAsia="Arial" w:hAnsi="Arial"/>
                <w:sz w:val="18"/>
                <w:szCs w:val="18"/>
                <w:color w:val="auto"/>
              </w:rPr>
              <w:t>Oral Serine Protease Inhibitor Targeting Kallikrein</w:t>
            </w:r>
          </w:p>
        </w:tc>
        <w:tc>
          <w:tcPr>
            <w:tcW w:w="2160" w:type="dxa"/>
            <w:vAlign w:val="bottom"/>
          </w:tcPr>
          <w:p>
            <w:pPr>
              <w:spacing w:after="0"/>
              <w:rPr>
                <w:sz w:val="20"/>
                <w:szCs w:val="20"/>
                <w:color w:val="auto"/>
              </w:rPr>
            </w:pPr>
            <w:r>
              <w:rPr>
                <w:rFonts w:ascii="Arial" w:cs="Arial" w:eastAsia="Arial" w:hAnsi="Arial"/>
                <w:sz w:val="18"/>
                <w:szCs w:val="18"/>
                <w:color w:val="auto"/>
              </w:rPr>
              <w:t>Hereditary Angioedema</w:t>
            </w: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Phase 3</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BioCryst</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(once-daily treatment)</w:t>
            </w:r>
          </w:p>
        </w:tc>
        <w:tc>
          <w:tcPr>
            <w:tcW w:w="2160" w:type="dxa"/>
            <w:vAlign w:val="bottom"/>
          </w:tcPr>
          <w:p>
            <w:pPr>
              <w:spacing w:after="0"/>
              <w:rPr>
                <w:sz w:val="20"/>
                <w:szCs w:val="20"/>
                <w:color w:val="auto"/>
              </w:rPr>
            </w:pPr>
            <w:r>
              <w:rPr>
                <w:rFonts w:ascii="Arial" w:cs="Arial" w:eastAsia="Arial" w:hAnsi="Arial"/>
                <w:sz w:val="18"/>
                <w:szCs w:val="18"/>
                <w:color w:val="auto"/>
              </w:rPr>
              <w:t>(“HAE”)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(worldwide)</w:t>
            </w:r>
          </w:p>
        </w:tc>
      </w:tr>
      <w:tr>
        <w:trPr>
          <w:trHeight w:val="418"/>
        </w:trPr>
        <w:tc>
          <w:tcPr>
            <w:tcW w:w="4000" w:type="dxa"/>
            <w:vAlign w:val="bottom"/>
            <w:gridSpan w:val="3"/>
          </w:tcPr>
          <w:p>
            <w:pPr>
              <w:spacing w:after="0"/>
              <w:rPr>
                <w:sz w:val="20"/>
                <w:szCs w:val="20"/>
                <w:color w:val="auto"/>
              </w:rPr>
            </w:pPr>
            <w:r>
              <w:rPr>
                <w:rFonts w:ascii="Arial" w:cs="Arial" w:eastAsia="Arial" w:hAnsi="Arial"/>
                <w:sz w:val="18"/>
                <w:szCs w:val="18"/>
                <w:color w:val="auto"/>
                <w:w w:val="96"/>
              </w:rPr>
              <w:t>Distinct and different oral dose formulation for acute</w:t>
            </w:r>
          </w:p>
        </w:tc>
        <w:tc>
          <w:tcPr>
            <w:tcW w:w="216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color w:val="auto"/>
              </w:rPr>
              <w:t>Phase 3</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treatment</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580" w:space="620"/>
            <w:col w:w="9220"/>
          </w:cols>
          <w:pgMar w:left="240" w:top="58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BCX9930</w:t>
            </w:r>
          </w:p>
        </w:tc>
        <w:tc>
          <w:tcPr>
            <w:tcW w:w="4080" w:type="dxa"/>
            <w:vAlign w:val="bottom"/>
          </w:tcPr>
          <w:p>
            <w:pPr>
              <w:ind w:left="340"/>
              <w:spacing w:after="0"/>
              <w:rPr>
                <w:sz w:val="20"/>
                <w:szCs w:val="20"/>
                <w:color w:val="auto"/>
              </w:rPr>
            </w:pPr>
            <w:r>
              <w:rPr>
                <w:rFonts w:ascii="Arial" w:cs="Arial" w:eastAsia="Arial" w:hAnsi="Arial"/>
                <w:sz w:val="18"/>
                <w:szCs w:val="18"/>
                <w:color w:val="auto"/>
              </w:rPr>
              <w:t>Oral Factor D Inhibitor</w:t>
            </w:r>
          </w:p>
        </w:tc>
        <w:tc>
          <w:tcPr>
            <w:tcW w:w="2420" w:type="dxa"/>
            <w:vAlign w:val="bottom"/>
          </w:tcPr>
          <w:p>
            <w:pPr>
              <w:ind w:left="260"/>
              <w:spacing w:after="0"/>
              <w:rPr>
                <w:sz w:val="20"/>
                <w:szCs w:val="20"/>
                <w:color w:val="auto"/>
              </w:rPr>
            </w:pPr>
            <w:r>
              <w:rPr>
                <w:rFonts w:ascii="Arial" w:cs="Arial" w:eastAsia="Arial" w:hAnsi="Arial"/>
                <w:sz w:val="18"/>
                <w:szCs w:val="18"/>
                <w:color w:val="auto"/>
              </w:rPr>
              <w:t>Complement-mediated</w:t>
            </w:r>
          </w:p>
        </w:tc>
        <w:tc>
          <w:tcPr>
            <w:tcW w:w="1120" w:type="dxa"/>
            <w:vAlign w:val="bottom"/>
          </w:tcPr>
          <w:p>
            <w:pPr>
              <w:ind w:left="120"/>
              <w:spacing w:after="0"/>
              <w:rPr>
                <w:sz w:val="20"/>
                <w:szCs w:val="20"/>
                <w:color w:val="auto"/>
              </w:rPr>
            </w:pPr>
            <w:r>
              <w:rPr>
                <w:rFonts w:ascii="Arial" w:cs="Arial" w:eastAsia="Arial" w:hAnsi="Arial"/>
                <w:sz w:val="18"/>
                <w:szCs w:val="18"/>
                <w:color w:val="auto"/>
              </w:rPr>
              <w:t>Phase I</w:t>
            </w:r>
          </w:p>
        </w:tc>
        <w:tc>
          <w:tcPr>
            <w:tcW w:w="1820" w:type="dxa"/>
            <w:vAlign w:val="bottom"/>
          </w:tcPr>
          <w:p>
            <w:pPr>
              <w:ind w:left="240"/>
              <w:spacing w:after="0"/>
              <w:rPr>
                <w:sz w:val="20"/>
                <w:szCs w:val="20"/>
                <w:color w:val="auto"/>
              </w:rPr>
            </w:pPr>
            <w:r>
              <w:rPr>
                <w:rFonts w:ascii="Arial" w:cs="Arial" w:eastAsia="Arial" w:hAnsi="Arial"/>
                <w:sz w:val="18"/>
                <w:szCs w:val="18"/>
                <w:color w:val="auto"/>
                <w:w w:val="94"/>
              </w:rPr>
              <w:t>BioCryst (worldwide)</w:t>
            </w:r>
          </w:p>
        </w:tc>
      </w:tr>
      <w:tr>
        <w:trPr>
          <w:trHeight w:val="230"/>
        </w:trPr>
        <w:tc>
          <w:tcPr>
            <w:tcW w:w="1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diseases</w:t>
            </w: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8"/>
        </w:trPr>
        <w:tc>
          <w:tcPr>
            <w:tcW w:w="1860" w:type="dxa"/>
            <w:vAlign w:val="bottom"/>
          </w:tcPr>
          <w:p>
            <w:pPr>
              <w:spacing w:after="0"/>
              <w:rPr>
                <w:sz w:val="20"/>
                <w:szCs w:val="20"/>
                <w:color w:val="auto"/>
              </w:rPr>
            </w:pPr>
            <w:r>
              <w:rPr>
                <w:rFonts w:ascii="Arial" w:cs="Arial" w:eastAsia="Arial" w:hAnsi="Arial"/>
                <w:sz w:val="18"/>
                <w:szCs w:val="18"/>
                <w:color w:val="auto"/>
              </w:rPr>
              <w:t>BCX9250</w:t>
            </w:r>
          </w:p>
        </w:tc>
        <w:tc>
          <w:tcPr>
            <w:tcW w:w="4080" w:type="dxa"/>
            <w:vAlign w:val="bottom"/>
          </w:tcPr>
          <w:p>
            <w:pPr>
              <w:ind w:left="340"/>
              <w:spacing w:after="0"/>
              <w:rPr>
                <w:sz w:val="20"/>
                <w:szCs w:val="20"/>
                <w:color w:val="auto"/>
              </w:rPr>
            </w:pPr>
            <w:r>
              <w:rPr>
                <w:rFonts w:ascii="Arial" w:cs="Arial" w:eastAsia="Arial" w:hAnsi="Arial"/>
                <w:sz w:val="18"/>
                <w:szCs w:val="18"/>
                <w:color w:val="auto"/>
              </w:rPr>
              <w:t>Oral Activin Receptor-Like Kinase-2 Inhibitors</w:t>
            </w:r>
          </w:p>
        </w:tc>
        <w:tc>
          <w:tcPr>
            <w:tcW w:w="2420" w:type="dxa"/>
            <w:vAlign w:val="bottom"/>
          </w:tcPr>
          <w:p>
            <w:pPr>
              <w:ind w:left="260"/>
              <w:spacing w:after="0"/>
              <w:rPr>
                <w:sz w:val="20"/>
                <w:szCs w:val="20"/>
                <w:color w:val="auto"/>
              </w:rPr>
            </w:pPr>
            <w:r>
              <w:rPr>
                <w:rFonts w:ascii="Arial" w:cs="Arial" w:eastAsia="Arial" w:hAnsi="Arial"/>
                <w:sz w:val="18"/>
                <w:szCs w:val="18"/>
                <w:color w:val="auto"/>
              </w:rPr>
              <w:t>Fibrodysplasia Ossificans</w:t>
            </w:r>
          </w:p>
        </w:tc>
        <w:tc>
          <w:tcPr>
            <w:tcW w:w="1120" w:type="dxa"/>
            <w:vAlign w:val="bottom"/>
          </w:tcPr>
          <w:p>
            <w:pPr>
              <w:ind w:left="120"/>
              <w:spacing w:after="0"/>
              <w:rPr>
                <w:sz w:val="20"/>
                <w:szCs w:val="20"/>
                <w:color w:val="auto"/>
              </w:rPr>
            </w:pPr>
            <w:r>
              <w:rPr>
                <w:rFonts w:ascii="Arial" w:cs="Arial" w:eastAsia="Arial" w:hAnsi="Arial"/>
                <w:sz w:val="18"/>
                <w:szCs w:val="18"/>
                <w:color w:val="auto"/>
              </w:rPr>
              <w:t>Preclinical</w:t>
            </w:r>
          </w:p>
        </w:tc>
        <w:tc>
          <w:tcPr>
            <w:tcW w:w="1820" w:type="dxa"/>
            <w:vAlign w:val="bottom"/>
          </w:tcPr>
          <w:p>
            <w:pPr>
              <w:ind w:left="240"/>
              <w:spacing w:after="0"/>
              <w:rPr>
                <w:sz w:val="20"/>
                <w:szCs w:val="20"/>
                <w:color w:val="auto"/>
              </w:rPr>
            </w:pPr>
            <w:r>
              <w:rPr>
                <w:rFonts w:ascii="Arial" w:cs="Arial" w:eastAsia="Arial" w:hAnsi="Arial"/>
                <w:sz w:val="18"/>
                <w:szCs w:val="18"/>
                <w:color w:val="auto"/>
                <w:w w:val="94"/>
              </w:rPr>
              <w:t>BioCryst (worldwide)</w:t>
            </w:r>
          </w:p>
        </w:tc>
      </w:tr>
      <w:tr>
        <w:trPr>
          <w:trHeight w:val="230"/>
        </w:trPr>
        <w:tc>
          <w:tcPr>
            <w:tcW w:w="1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Progressiva (“FOP”)</w:t>
            </w: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634"/>
        </w:trPr>
        <w:tc>
          <w:tcPr>
            <w:tcW w:w="1860" w:type="dxa"/>
            <w:vAlign w:val="bottom"/>
          </w:tcPr>
          <w:p>
            <w:pPr>
              <w:spacing w:after="0"/>
              <w:rPr>
                <w:sz w:val="20"/>
                <w:szCs w:val="20"/>
                <w:color w:val="auto"/>
              </w:rPr>
            </w:pPr>
            <w:r>
              <w:rPr>
                <w:rFonts w:ascii="Arial" w:cs="Arial" w:eastAsia="Arial" w:hAnsi="Arial"/>
                <w:sz w:val="18"/>
                <w:szCs w:val="18"/>
                <w:color w:val="auto"/>
              </w:rPr>
              <w:t>Galidesivir (formerly</w:t>
            </w:r>
          </w:p>
        </w:tc>
        <w:tc>
          <w:tcPr>
            <w:tcW w:w="4080" w:type="dxa"/>
            <w:vAlign w:val="bottom"/>
          </w:tcPr>
          <w:p>
            <w:pPr>
              <w:ind w:left="340"/>
              <w:spacing w:after="0"/>
              <w:rPr>
                <w:sz w:val="20"/>
                <w:szCs w:val="20"/>
                <w:color w:val="auto"/>
              </w:rPr>
            </w:pPr>
            <w:r>
              <w:rPr>
                <w:rFonts w:ascii="Arial" w:cs="Arial" w:eastAsia="Arial" w:hAnsi="Arial"/>
                <w:sz w:val="18"/>
                <w:szCs w:val="18"/>
                <w:color w:val="auto"/>
              </w:rPr>
              <w:t>RNA dependent-RNA Polymerase Inhibitor</w:t>
            </w:r>
          </w:p>
        </w:tc>
        <w:tc>
          <w:tcPr>
            <w:tcW w:w="2420" w:type="dxa"/>
            <w:vAlign w:val="bottom"/>
          </w:tcPr>
          <w:p>
            <w:pPr>
              <w:ind w:left="260"/>
              <w:spacing w:after="0"/>
              <w:rPr>
                <w:sz w:val="20"/>
                <w:szCs w:val="20"/>
                <w:color w:val="auto"/>
              </w:rPr>
            </w:pPr>
            <w:r>
              <w:rPr>
                <w:rFonts w:ascii="Arial" w:cs="Arial" w:eastAsia="Arial" w:hAnsi="Arial"/>
                <w:sz w:val="18"/>
                <w:szCs w:val="18"/>
                <w:color w:val="auto"/>
                <w:w w:val="97"/>
              </w:rPr>
              <w:t>Broad spectrum antiviral for</w:t>
            </w:r>
          </w:p>
        </w:tc>
        <w:tc>
          <w:tcPr>
            <w:tcW w:w="1120" w:type="dxa"/>
            <w:vAlign w:val="bottom"/>
          </w:tcPr>
          <w:p>
            <w:pPr>
              <w:ind w:left="120"/>
              <w:spacing w:after="0"/>
              <w:rPr>
                <w:sz w:val="20"/>
                <w:szCs w:val="20"/>
                <w:color w:val="auto"/>
              </w:rPr>
            </w:pPr>
            <w:r>
              <w:rPr>
                <w:rFonts w:ascii="Arial" w:cs="Arial" w:eastAsia="Arial" w:hAnsi="Arial"/>
                <w:sz w:val="18"/>
                <w:szCs w:val="18"/>
                <w:color w:val="auto"/>
              </w:rPr>
              <w:t>Phase 1</w:t>
            </w:r>
          </w:p>
        </w:tc>
        <w:tc>
          <w:tcPr>
            <w:tcW w:w="1820" w:type="dxa"/>
            <w:vAlign w:val="bottom"/>
          </w:tcPr>
          <w:p>
            <w:pPr>
              <w:ind w:left="240"/>
              <w:spacing w:after="0"/>
              <w:rPr>
                <w:sz w:val="20"/>
                <w:szCs w:val="20"/>
                <w:color w:val="auto"/>
              </w:rPr>
            </w:pPr>
            <w:r>
              <w:rPr>
                <w:rFonts w:ascii="Arial" w:cs="Arial" w:eastAsia="Arial" w:hAnsi="Arial"/>
                <w:sz w:val="18"/>
                <w:szCs w:val="18"/>
                <w:color w:val="auto"/>
              </w:rPr>
              <w:t>BioCryst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BCX4430)</w:t>
            </w:r>
          </w:p>
        </w:tc>
        <w:tc>
          <w:tcPr>
            <w:tcW w:w="4080" w:type="dxa"/>
            <w:vAlign w:val="bottom"/>
          </w:tcPr>
          <w:p>
            <w:pPr>
              <w:spacing w:after="0"/>
              <w:rPr>
                <w:sz w:val="18"/>
                <w:szCs w:val="18"/>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20 RNA viruses, including</w:t>
            </w:r>
          </w:p>
        </w:tc>
        <w:tc>
          <w:tcPr>
            <w:tcW w:w="1120" w:type="dxa"/>
            <w:vAlign w:val="bottom"/>
          </w:tcPr>
          <w:p>
            <w:pPr>
              <w:spacing w:after="0"/>
              <w:rPr>
                <w:sz w:val="18"/>
                <w:szCs w:val="18"/>
                <w:color w:val="auto"/>
              </w:rPr>
            </w:pPr>
          </w:p>
        </w:tc>
        <w:tc>
          <w:tcPr>
            <w:tcW w:w="1820" w:type="dxa"/>
            <w:vAlign w:val="bottom"/>
          </w:tcPr>
          <w:p>
            <w:pPr>
              <w:ind w:left="240"/>
              <w:spacing w:after="0"/>
              <w:rPr>
                <w:sz w:val="20"/>
                <w:szCs w:val="20"/>
                <w:color w:val="auto"/>
              </w:rPr>
            </w:pPr>
            <w:r>
              <w:rPr>
                <w:rFonts w:ascii="Arial" w:cs="Arial" w:eastAsia="Arial" w:hAnsi="Arial"/>
                <w:sz w:val="18"/>
                <w:szCs w:val="18"/>
                <w:color w:val="auto"/>
              </w:rPr>
              <w:t>(worldwide)</w:t>
            </w:r>
          </w:p>
        </w:tc>
      </w:tr>
      <w:tr>
        <w:trPr>
          <w:trHeight w:val="216"/>
        </w:trPr>
        <w:tc>
          <w:tcPr>
            <w:tcW w:w="1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Marburg, Yellow Fever,</w:t>
            </w:r>
          </w:p>
        </w:tc>
        <w:tc>
          <w:tcPr>
            <w:tcW w:w="1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20" w:type="dxa"/>
            <w:vAlign w:val="bottom"/>
          </w:tcPr>
          <w:p>
            <w:pPr>
              <w:ind w:left="260"/>
              <w:spacing w:after="0"/>
              <w:rPr>
                <w:sz w:val="20"/>
                <w:szCs w:val="20"/>
                <w:color w:val="auto"/>
              </w:rPr>
            </w:pPr>
            <w:r>
              <w:rPr>
                <w:rFonts w:ascii="Arial" w:cs="Arial" w:eastAsia="Arial" w:hAnsi="Arial"/>
                <w:sz w:val="18"/>
                <w:szCs w:val="18"/>
                <w:color w:val="auto"/>
              </w:rPr>
              <w:t>Ebola and Zika</w:t>
            </w:r>
          </w:p>
        </w:tc>
        <w:tc>
          <w:tcPr>
            <w:tcW w:w="1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9"/>
        </w:trPr>
        <w:tc>
          <w:tcPr>
            <w:tcW w:w="1860" w:type="dxa"/>
            <w:vAlign w:val="bottom"/>
          </w:tcPr>
          <w:p>
            <w:pPr>
              <w:spacing w:after="0"/>
              <w:rPr>
                <w:sz w:val="20"/>
                <w:szCs w:val="20"/>
                <w:color w:val="auto"/>
              </w:rPr>
            </w:pPr>
            <w:r>
              <w:rPr>
                <w:rFonts w:ascii="Arial" w:cs="Arial" w:eastAsia="Arial" w:hAnsi="Arial"/>
                <w:sz w:val="18"/>
                <w:szCs w:val="18"/>
                <w:color w:val="auto"/>
              </w:rPr>
              <w:t>Mundesine</w:t>
            </w:r>
            <w:r>
              <w:rPr>
                <w:rFonts w:ascii="Arial" w:cs="Arial" w:eastAsia="Arial" w:hAnsi="Arial"/>
                <w:sz w:val="30"/>
                <w:szCs w:val="30"/>
                <w:color w:val="auto"/>
                <w:vertAlign w:val="superscript"/>
              </w:rPr>
              <w:t>®</w:t>
            </w:r>
          </w:p>
        </w:tc>
        <w:tc>
          <w:tcPr>
            <w:tcW w:w="4080" w:type="dxa"/>
            <w:vAlign w:val="bottom"/>
          </w:tcPr>
          <w:p>
            <w:pPr>
              <w:ind w:left="340"/>
              <w:spacing w:after="0"/>
              <w:rPr>
                <w:sz w:val="20"/>
                <w:szCs w:val="20"/>
                <w:color w:val="auto"/>
              </w:rPr>
            </w:pPr>
            <w:r>
              <w:rPr>
                <w:rFonts w:ascii="Arial" w:cs="Arial" w:eastAsia="Arial" w:hAnsi="Arial"/>
                <w:sz w:val="18"/>
                <w:szCs w:val="18"/>
                <w:color w:val="auto"/>
                <w:w w:val="98"/>
              </w:rPr>
              <w:t>Oral Purine Nucleoside Phosphorylase Inhibitor</w:t>
            </w:r>
          </w:p>
        </w:tc>
        <w:tc>
          <w:tcPr>
            <w:tcW w:w="2420" w:type="dxa"/>
            <w:vAlign w:val="bottom"/>
          </w:tcPr>
          <w:p>
            <w:pPr>
              <w:ind w:left="260"/>
              <w:spacing w:after="0"/>
              <w:rPr>
                <w:sz w:val="20"/>
                <w:szCs w:val="20"/>
                <w:color w:val="auto"/>
              </w:rPr>
            </w:pPr>
            <w:r>
              <w:rPr>
                <w:rFonts w:ascii="Arial" w:cs="Arial" w:eastAsia="Arial" w:hAnsi="Arial"/>
                <w:sz w:val="18"/>
                <w:szCs w:val="18"/>
                <w:color w:val="auto"/>
              </w:rPr>
              <w:t>Oncology - PTCL</w:t>
            </w:r>
          </w:p>
        </w:tc>
        <w:tc>
          <w:tcPr>
            <w:tcW w:w="1120" w:type="dxa"/>
            <w:vAlign w:val="bottom"/>
          </w:tcPr>
          <w:p>
            <w:pPr>
              <w:ind w:left="120"/>
              <w:spacing w:after="0"/>
              <w:rPr>
                <w:sz w:val="20"/>
                <w:szCs w:val="20"/>
                <w:color w:val="auto"/>
              </w:rPr>
            </w:pPr>
            <w:r>
              <w:rPr>
                <w:rFonts w:ascii="Arial" w:cs="Arial" w:eastAsia="Arial" w:hAnsi="Arial"/>
                <w:sz w:val="18"/>
                <w:szCs w:val="18"/>
                <w:color w:val="auto"/>
              </w:rPr>
              <w:t>Approved</w:t>
            </w:r>
          </w:p>
        </w:tc>
        <w:tc>
          <w:tcPr>
            <w:tcW w:w="1820" w:type="dxa"/>
            <w:vAlign w:val="bottom"/>
          </w:tcPr>
          <w:p>
            <w:pPr>
              <w:ind w:left="240"/>
              <w:spacing w:after="0"/>
              <w:rPr>
                <w:sz w:val="20"/>
                <w:szCs w:val="20"/>
                <w:color w:val="auto"/>
              </w:rPr>
            </w:pPr>
            <w:r>
              <w:rPr>
                <w:rFonts w:ascii="Arial" w:cs="Arial" w:eastAsia="Arial" w:hAnsi="Arial"/>
                <w:sz w:val="18"/>
                <w:szCs w:val="18"/>
                <w:color w:val="auto"/>
              </w:rPr>
              <w:t>Mundipharma</w:t>
            </w:r>
          </w:p>
        </w:tc>
      </w:tr>
      <w:tr>
        <w:trPr>
          <w:trHeight w:val="270"/>
        </w:trPr>
        <w:tc>
          <w:tcPr>
            <w:tcW w:w="1860" w:type="dxa"/>
            <w:vAlign w:val="bottom"/>
          </w:tcPr>
          <w:p>
            <w:pPr>
              <w:spacing w:after="0"/>
              <w:rPr>
                <w:sz w:val="20"/>
                <w:szCs w:val="20"/>
                <w:color w:val="auto"/>
              </w:rPr>
            </w:pPr>
            <w:r>
              <w:rPr>
                <w:rFonts w:ascii="Arial" w:cs="Arial" w:eastAsia="Arial" w:hAnsi="Arial"/>
                <w:sz w:val="18"/>
                <w:szCs w:val="18"/>
                <w:color w:val="auto"/>
              </w:rPr>
              <w:t>(forodesine)</w:t>
            </w:r>
          </w:p>
        </w:tc>
        <w:tc>
          <w:tcPr>
            <w:tcW w:w="40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120" w:type="dxa"/>
            <w:vAlign w:val="bottom"/>
          </w:tcPr>
          <w:p>
            <w:pPr>
              <w:ind w:left="120"/>
              <w:spacing w:after="0"/>
              <w:rPr>
                <w:sz w:val="20"/>
                <w:szCs w:val="20"/>
                <w:color w:val="auto"/>
              </w:rPr>
            </w:pPr>
            <w:r>
              <w:rPr>
                <w:rFonts w:ascii="Arial" w:cs="Arial" w:eastAsia="Arial" w:hAnsi="Arial"/>
                <w:sz w:val="18"/>
                <w:szCs w:val="18"/>
                <w:color w:val="auto"/>
              </w:rPr>
              <w:t>(Japan)</w:t>
            </w:r>
          </w:p>
        </w:tc>
        <w:tc>
          <w:tcPr>
            <w:tcW w:w="1820" w:type="dxa"/>
            <w:vAlign w:val="bottom"/>
          </w:tcPr>
          <w:p>
            <w:pPr>
              <w:ind w:left="240"/>
              <w:spacing w:after="0"/>
              <w:rPr>
                <w:sz w:val="20"/>
                <w:szCs w:val="20"/>
                <w:color w:val="auto"/>
              </w:rPr>
            </w:pPr>
            <w:r>
              <w:rPr>
                <w:rFonts w:ascii="Arial" w:cs="Arial" w:eastAsia="Arial" w:hAnsi="Arial"/>
                <w:sz w:val="18"/>
                <w:szCs w:val="18"/>
                <w:color w:val="auto"/>
              </w:rPr>
              <w:t>(worldwide)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business strategy is to create shareholder value by focusing our discovery and development efforts on oral drugs for rare diseases for which a significant unmet medical need exists. We select disease targets and product candidates in which a small molecule would offer a significant benefit over existing products or would be the first to market. We strive to advance our product candidate portfolio from discovery to commercial markets efficiently by utilizing a small group of talented and highly-skilled employees working in conjunction with strategic outsource partners. BioCryst is unique in its approach to treat orphan diseases with orally-administered, small molecules, identified by utilizing crystallography and structure-guided drug design. The principal elements of our strategy are:</w:t>
      </w:r>
    </w:p>
    <w:p>
      <w:pPr>
        <w:spacing w:after="0" w:line="193" w:lineRule="exact"/>
        <w:rPr>
          <w:sz w:val="20"/>
          <w:szCs w:val="20"/>
          <w:color w:val="auto"/>
        </w:rPr>
      </w:pPr>
    </w:p>
    <w:p>
      <w:pPr>
        <w:ind w:left="920" w:right="40" w:hanging="453"/>
        <w:spacing w:after="0" w:line="293"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Focusing on High Value-Added Structure-Guided Drug Design Technologies. </w:t>
      </w:r>
      <w:r>
        <w:rPr>
          <w:rFonts w:ascii="Arial" w:cs="Arial" w:eastAsia="Arial" w:hAnsi="Arial"/>
          <w:sz w:val="16"/>
          <w:szCs w:val="16"/>
          <w:color w:val="auto"/>
        </w:rPr>
        <w:t>We utilize structure-guided drug design in order to most efficiently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therapeutic candidates. Structure-guided drug design is a process by which we design a product candidate through detailed analysis of the enzyme target, which the product candidate must inhibit in order to stop the progression of the disease or disorder. We believe that structure-guided drug design is a powerful tool for the efficient development of small-molecule product candidates that have the potential to be safe and effective. Our structure-guided drug design technologies typically allow us to design and synthesize multiple product candidates that inhibit the same enzyme target, with the goal of establishing broad patent protection and formulating compounds with competitive advantages.</w:t>
      </w:r>
    </w:p>
    <w:p>
      <w:pPr>
        <w:spacing w:after="0" w:line="164" w:lineRule="exact"/>
        <w:rPr>
          <w:rFonts w:ascii="Arial" w:cs="Arial" w:eastAsia="Arial" w:hAnsi="Arial"/>
          <w:sz w:val="16"/>
          <w:szCs w:val="16"/>
          <w:color w:val="auto"/>
        </w:rPr>
      </w:pPr>
    </w:p>
    <w:p>
      <w:pPr>
        <w:ind w:left="920" w:right="20" w:hanging="453"/>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Selecting Inhibitors that are Promising Product Candidates. </w:t>
      </w:r>
      <w:r>
        <w:rPr>
          <w:rFonts w:ascii="Arial" w:cs="Arial" w:eastAsia="Arial" w:hAnsi="Arial"/>
          <w:sz w:val="18"/>
          <w:szCs w:val="18"/>
          <w:color w:val="auto"/>
        </w:rPr>
        <w:t>We start by selecting disease targets with well-understood biology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that fit with our ability to utilize structure-guided drug design capabilities to build potent and specific enzyme inhibitors. Next, we narrow our selection of these product candidates based on product characteristics, such as initial indications of safety and biologic activity on the target.</w:t>
      </w:r>
    </w:p>
    <w:p>
      <w:pPr>
        <w:spacing w:after="0" w:line="186" w:lineRule="exact"/>
        <w:rPr>
          <w:rFonts w:ascii="Arial" w:cs="Arial" w:eastAsia="Arial" w:hAnsi="Arial"/>
          <w:sz w:val="18"/>
          <w:szCs w:val="18"/>
          <w:color w:val="auto"/>
        </w:rPr>
      </w:pPr>
    </w:p>
    <w:p>
      <w:pPr>
        <w:ind w:left="920" w:hanging="453"/>
        <w:spacing w:after="0" w:line="255"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Developing our Product Candidates Efficiently. </w:t>
      </w:r>
      <w:r>
        <w:rPr>
          <w:rFonts w:ascii="Arial" w:cs="Arial" w:eastAsia="Arial" w:hAnsi="Arial"/>
          <w:sz w:val="18"/>
          <w:szCs w:val="18"/>
          <w:color w:val="auto"/>
        </w:rPr>
        <w:t>An important element of our business strategy is to efficiently progress our product candidates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development process. In order to accomplish this, we typically strive for disease targets with a defined clinical and regulatory pathway for approval. In addition, we control fixed costs and overhead by outsourcing with strategic partners and contractors or entering into license agreements with third parties, including the U.S. Government. By contracting with the U.S. Government and outsourcing certain aspects of our operations, we are able to control overhead costs and focus financial resources directly where they provide the most benefit and reduce our business risk.</w:t>
      </w:r>
    </w:p>
    <w:p>
      <w:pPr>
        <w:spacing w:after="0" w:line="193" w:lineRule="exact"/>
        <w:rPr>
          <w:sz w:val="20"/>
          <w:szCs w:val="20"/>
          <w:color w:val="auto"/>
        </w:rPr>
      </w:pPr>
    </w:p>
    <w:p>
      <w:pPr>
        <w:jc w:val="both"/>
        <w:ind w:right="240" w:firstLine="492"/>
        <w:spacing w:after="0" w:line="264" w:lineRule="auto"/>
        <w:rPr>
          <w:sz w:val="20"/>
          <w:szCs w:val="20"/>
          <w:color w:val="auto"/>
        </w:rPr>
      </w:pPr>
      <w:r>
        <w:rPr>
          <w:rFonts w:ascii="Arial" w:cs="Arial" w:eastAsia="Arial" w:hAnsi="Arial"/>
          <w:sz w:val="18"/>
          <w:szCs w:val="18"/>
          <w:color w:val="auto"/>
        </w:rPr>
        <w:t>We are a Delaware corporation originally founded in 1986. Our corporate headquarters is located at 4505 Emperor Blvd., Suite 200, Durham, North Carolina 27703 and the corporate telephone number is (919) 859-1302. For more information about us, please visit our website at www.biocryst.com. The information on our website is not incorporated into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Peramivir injection </w:t>
      </w:r>
      <w:r>
        <w:rPr>
          <w:rFonts w:ascii="Arial" w:cs="Arial" w:eastAsia="Arial" w:hAnsi="Arial"/>
          <w:sz w:val="18"/>
          <w:szCs w:val="18"/>
          <w:color w:val="auto"/>
        </w:rPr>
        <w:t>(RAPIVAB</w:t>
      </w:r>
      <w:r>
        <w:rPr>
          <w:rFonts w:ascii="Arial" w:cs="Arial" w:eastAsia="Arial" w:hAnsi="Arial"/>
          <w:sz w:val="30"/>
          <w:szCs w:val="30"/>
          <w:color w:val="auto"/>
          <w:vertAlign w:val="superscript"/>
        </w:rPr>
        <w:t>®</w:t>
      </w:r>
      <w:r>
        <w:rPr>
          <w:rFonts w:ascii="Arial" w:cs="Arial" w:eastAsia="Arial" w:hAnsi="Arial"/>
          <w:sz w:val="18"/>
          <w:szCs w:val="18"/>
          <w:color w:val="auto"/>
        </w:rPr>
        <w:t>, ALPIVAB</w:t>
      </w:r>
      <w:r>
        <w:rPr>
          <w:rFonts w:ascii="Arial" w:cs="Arial" w:eastAsia="Arial" w:hAnsi="Arial"/>
          <w:sz w:val="30"/>
          <w:szCs w:val="30"/>
          <w:color w:val="auto"/>
          <w:vertAlign w:val="superscript"/>
        </w:rPr>
        <w:t>TM</w:t>
      </w:r>
      <w:r>
        <w:rPr>
          <w:rFonts w:ascii="Arial" w:cs="Arial" w:eastAsia="Arial" w:hAnsi="Arial"/>
          <w:sz w:val="18"/>
          <w:szCs w:val="18"/>
          <w:color w:val="auto"/>
        </w:rPr>
        <w:t>, RAPIACTA</w:t>
      </w:r>
      <w:r>
        <w:rPr>
          <w:rFonts w:ascii="Arial" w:cs="Arial" w:eastAsia="Arial" w:hAnsi="Arial"/>
          <w:sz w:val="30"/>
          <w:szCs w:val="30"/>
          <w:color w:val="auto"/>
          <w:vertAlign w:val="superscript"/>
        </w:rPr>
        <w:t>®</w:t>
      </w:r>
      <w:r>
        <w:rPr>
          <w:rFonts w:ascii="Arial" w:cs="Arial" w:eastAsia="Arial" w:hAnsi="Arial"/>
          <w:sz w:val="18"/>
          <w:szCs w:val="18"/>
          <w:color w:val="auto"/>
        </w:rPr>
        <w:t>, PERAMIFLU</w:t>
      </w:r>
      <w:r>
        <w:rPr>
          <w:rFonts w:ascii="Arial" w:cs="Arial" w:eastAsia="Arial" w:hAnsi="Arial"/>
          <w:sz w:val="30"/>
          <w:szCs w:val="30"/>
          <w:color w:val="auto"/>
          <w:vertAlign w:val="superscript"/>
        </w:rPr>
        <w:t>®</w:t>
      </w:r>
      <w:r>
        <w:rPr>
          <w:rFonts w:ascii="Arial" w:cs="Arial" w:eastAsia="Arial" w:hAnsi="Arial"/>
          <w:sz w:val="18"/>
          <w:szCs w:val="18"/>
          <w:color w:val="auto"/>
        </w:rPr>
        <w:t>)</w:t>
      </w:r>
    </w:p>
    <w:p>
      <w:pPr>
        <w:spacing w:after="0" w:line="124" w:lineRule="exact"/>
        <w:rPr>
          <w:sz w:val="20"/>
          <w:szCs w:val="20"/>
          <w:color w:val="auto"/>
        </w:rPr>
      </w:pPr>
    </w:p>
    <w:p>
      <w:pPr>
        <w:ind w:firstLine="492"/>
        <w:spacing w:after="0" w:line="291" w:lineRule="auto"/>
        <w:rPr>
          <w:sz w:val="20"/>
          <w:szCs w:val="20"/>
          <w:color w:val="auto"/>
        </w:rPr>
      </w:pPr>
      <w:r>
        <w:rPr>
          <w:rFonts w:ascii="Arial" w:cs="Arial" w:eastAsia="Arial" w:hAnsi="Arial"/>
          <w:sz w:val="16"/>
          <w:szCs w:val="16"/>
          <w:color w:val="auto"/>
        </w:rPr>
        <w:t>Peramivir was approved in Japan and Korea in 2010, the United States in 2014, in Taiwan in 2016, in Canada in 2017, and in the European Union (“EU”) and Australia in 2018. It received approval under a pediatric Supplemental New Drug Application (“sNDA”) in the United States in September 2017, extending its availability for the treatment of acute uncomplicated influenza to pediatric patients 2 years and older. In the United States, peramivir is indicated for the treatment of acute uncomplicated influenza in patients who have been symptomatic for no more than two days. In May 2018, peramivir with the brand name of ALPIVAB received approval from the European Medicines Agency (“EMA”), although ALPIVAB is not currently commercially available in the EU. Data from over 2,700 subjects treated with peramivir in 27 clinical trials was utilized to support original regulatory approval in these countries. We made RAPIVAB available for commercial sale in the U.S. through agreements with specialty distributorships during the 2014-2015 influenza season.</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 w:name="page6"/>
    <w:bookmarkEnd w:id="5"/>
    <w:p>
      <w:pPr>
        <w:ind w:right="160" w:firstLine="492"/>
        <w:spacing w:after="0" w:line="255" w:lineRule="auto"/>
        <w:rPr>
          <w:sz w:val="20"/>
          <w:szCs w:val="20"/>
          <w:color w:val="auto"/>
        </w:rPr>
      </w:pPr>
      <w:r>
        <w:rPr>
          <w:rFonts w:ascii="Arial" w:cs="Arial" w:eastAsia="Arial" w:hAnsi="Arial"/>
          <w:sz w:val="18"/>
          <w:szCs w:val="18"/>
          <w:color w:val="auto"/>
        </w:rPr>
        <w:t>On June 17, 2015, we announced that we licensed RAPIVAB (peramivir injection) for the treatment of influenza to CSL Limited (“CSL”), a global biopharmaceutical company. Under this license agreement (the “SUL Agreement”), RAPIVAB and ALPIVAB are licensed to and expected to be commercialized by CSL's subsidiary, Seqirus UK Limited (“SUL”), which specializes in influenza prevention through the supply of seasonal and pandemic vaccine to global markets. SUL is to manufacture, commercialize and exercise decision-making authority with respect to the development and commercialization of RAPIVAB and ALPIVAB within the Territory (as defined in the SUL Agreement) and be responsible for all related costs, including sales and promotion.</w:t>
      </w:r>
    </w:p>
    <w:p>
      <w:pPr>
        <w:spacing w:after="0" w:line="193" w:lineRule="exact"/>
        <w:rPr>
          <w:sz w:val="20"/>
          <w:szCs w:val="20"/>
          <w:color w:val="auto"/>
        </w:rPr>
      </w:pPr>
    </w:p>
    <w:p>
      <w:pPr>
        <w:ind w:right="440" w:firstLine="492"/>
        <w:spacing w:after="0" w:line="308" w:lineRule="auto"/>
        <w:rPr>
          <w:sz w:val="20"/>
          <w:szCs w:val="20"/>
          <w:color w:val="auto"/>
        </w:rPr>
      </w:pPr>
      <w:r>
        <w:rPr>
          <w:rFonts w:ascii="Arial" w:cs="Arial" w:eastAsia="Arial" w:hAnsi="Arial"/>
          <w:sz w:val="17"/>
          <w:szCs w:val="17"/>
          <w:color w:val="auto"/>
        </w:rPr>
        <w:t>Under the terms of the SUL Agreement, we are responsible for fulfilling all post-marketing approval commitments in connection with the FDA's approval of the new drug application (“NDA”), and upon fulfillment will transfer ownership of and financial responsibility for the NDA to SUL.</w:t>
      </w:r>
    </w:p>
    <w:p>
      <w:pPr>
        <w:spacing w:after="0" w:line="147" w:lineRule="exact"/>
        <w:rPr>
          <w:sz w:val="20"/>
          <w:szCs w:val="20"/>
          <w:color w:val="auto"/>
        </w:rPr>
      </w:pPr>
    </w:p>
    <w:p>
      <w:pPr>
        <w:ind w:right="320" w:firstLine="492"/>
        <w:spacing w:after="0" w:line="342" w:lineRule="auto"/>
        <w:rPr>
          <w:sz w:val="20"/>
          <w:szCs w:val="20"/>
          <w:color w:val="auto"/>
        </w:rPr>
      </w:pPr>
      <w:r>
        <w:rPr>
          <w:rFonts w:ascii="Arial" w:cs="Arial" w:eastAsia="Arial" w:hAnsi="Arial"/>
          <w:sz w:val="16"/>
          <w:szCs w:val="16"/>
          <w:color w:val="auto"/>
        </w:rPr>
        <w:t>We are engaged in a formal dispute resolution process with SUL, which has now entered arbitration proceedings. The dispute involves many items under the SUL Agreement including, but not limited to, the EMA approval milestone and appropriately commercializing peramivir in the Territory.</w:t>
      </w:r>
    </w:p>
    <w:p>
      <w:pPr>
        <w:spacing w:after="0" w:line="124" w:lineRule="exact"/>
        <w:rPr>
          <w:sz w:val="20"/>
          <w:szCs w:val="20"/>
          <w:color w:val="auto"/>
        </w:rPr>
      </w:pPr>
    </w:p>
    <w:p>
      <w:pPr>
        <w:jc w:val="both"/>
        <w:ind w:right="80" w:firstLine="492"/>
        <w:spacing w:after="0" w:line="264" w:lineRule="auto"/>
        <w:rPr>
          <w:sz w:val="20"/>
          <w:szCs w:val="20"/>
          <w:color w:val="auto"/>
        </w:rPr>
      </w:pPr>
      <w:r>
        <w:rPr>
          <w:rFonts w:ascii="Arial" w:cs="Arial" w:eastAsia="Arial" w:hAnsi="Arial"/>
          <w:sz w:val="18"/>
          <w:szCs w:val="18"/>
          <w:color w:val="auto"/>
        </w:rPr>
        <w:t>In September 2018, the Centers for Disease Control and Prevention awarded us a $34.7 million contract for the procurement of up to 50,000 doses of RAPIVAB over a five-year period to supply the Strategic National Stockpile for use in a public health emergency. We expect to deliver at least one shipment within the award, totaling approximately $7.0 million, in 2019.</w:t>
      </w:r>
    </w:p>
    <w:p>
      <w:pPr>
        <w:spacing w:after="0" w:line="181" w:lineRule="exact"/>
        <w:rPr>
          <w:sz w:val="20"/>
          <w:szCs w:val="20"/>
          <w:color w:val="auto"/>
        </w:rPr>
      </w:pPr>
    </w:p>
    <w:p>
      <w:pPr>
        <w:ind w:right="40" w:firstLine="492"/>
        <w:spacing w:after="0" w:line="264" w:lineRule="auto"/>
        <w:rPr>
          <w:sz w:val="20"/>
          <w:szCs w:val="20"/>
          <w:color w:val="auto"/>
        </w:rPr>
      </w:pPr>
      <w:r>
        <w:rPr>
          <w:rFonts w:ascii="Arial" w:cs="Arial" w:eastAsia="Arial" w:hAnsi="Arial"/>
          <w:sz w:val="18"/>
          <w:szCs w:val="18"/>
          <w:color w:val="auto"/>
        </w:rPr>
        <w:t>RAPIVAB was developed under a $234.8 million contract from the Biomedical Advanced Research and Development Authority within the United States Department of Health and Human Services (“BARDA/HHS”). See “Collaborations and In-License Relationships—BARDA/HHS” below for a further discussion of this development contract.</w:t>
      </w:r>
    </w:p>
    <w:p>
      <w:pPr>
        <w:spacing w:after="0" w:line="181" w:lineRule="exact"/>
        <w:rPr>
          <w:sz w:val="20"/>
          <w:szCs w:val="20"/>
          <w:color w:val="auto"/>
        </w:rPr>
      </w:pPr>
    </w:p>
    <w:p>
      <w:pPr>
        <w:ind w:right="160" w:firstLine="492"/>
        <w:spacing w:after="0" w:line="257" w:lineRule="auto"/>
        <w:rPr>
          <w:sz w:val="20"/>
          <w:szCs w:val="20"/>
          <w:color w:val="auto"/>
        </w:rPr>
      </w:pPr>
      <w:r>
        <w:rPr>
          <w:rFonts w:ascii="Arial" w:cs="Arial" w:eastAsia="Arial" w:hAnsi="Arial"/>
          <w:sz w:val="18"/>
          <w:szCs w:val="18"/>
          <w:color w:val="auto"/>
        </w:rPr>
        <w:t>In January 2010, our partner Shionogi &amp; Co., Ltd. (“Shionogi”) received the first approval for peramivir injection and launched it in Japan under the commercial name RAPIACTA. It is approved for the treatment of adults, children and infants with uncomplicated seasonal influenza and those patients at high-risk for complications associated with influenza. In August 2010, Green Cross Corporation (“Green Cross”) received marketing and manufacturing approval from the Korean Food &amp; Drug Administration under the commercial name PERAMIFLU to treat patients with influenza A &amp; B viruses, including pandemic H1N1 and avian influenza.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Hereditary Angioedema (“HAE”) Drug Candidates</w:t>
      </w:r>
    </w:p>
    <w:p>
      <w:pPr>
        <w:spacing w:after="0" w:line="229" w:lineRule="exact"/>
        <w:rPr>
          <w:sz w:val="20"/>
          <w:szCs w:val="20"/>
          <w:color w:val="auto"/>
        </w:rPr>
      </w:pPr>
    </w:p>
    <w:p>
      <w:pPr>
        <w:ind w:right="60" w:firstLine="492"/>
        <w:spacing w:after="0" w:line="302" w:lineRule="auto"/>
        <w:rPr>
          <w:sz w:val="20"/>
          <w:szCs w:val="20"/>
          <w:color w:val="auto"/>
        </w:rPr>
      </w:pPr>
      <w:r>
        <w:rPr>
          <w:rFonts w:ascii="Arial" w:cs="Arial" w:eastAsia="Arial" w:hAnsi="Arial"/>
          <w:sz w:val="16"/>
          <w:szCs w:val="16"/>
          <w:color w:val="auto"/>
        </w:rPr>
        <w:t>HAE is a rare, severely debilitating and potentially fatal genetic condition that occurs in approximately 1 in 50,000 people. HAE symptoms include recurrent episodes of edema in various locations, including the hands, feet, face, genitalia and airway. Airway swelling is particularly dangerous and can lead to death by asphyxiation. In addition, patients often have bouts of severe abdominal pain, nausea and vomiting caused by swelling in the intestinal wall. By inhibiting plasma kallikrein, our HAE drug candidates suppress bradykinin production. Bradykinin is the mediator of acute swelling attacks in HAE patients.</w:t>
      </w:r>
    </w:p>
    <w:p>
      <w:pPr>
        <w:spacing w:after="0" w:line="154"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i w:val="1"/>
          <w:iCs w:val="1"/>
          <w:u w:val="single" w:color="auto"/>
          <w:color w:val="auto"/>
        </w:rPr>
        <w:t>BCX7353:</w:t>
      </w:r>
      <w:r>
        <w:rPr>
          <w:rFonts w:ascii="Arial" w:cs="Arial" w:eastAsia="Arial" w:hAnsi="Arial"/>
          <w:sz w:val="18"/>
          <w:szCs w:val="18"/>
          <w:i w:val="1"/>
          <w:iCs w:val="1"/>
          <w:color w:val="auto"/>
        </w:rPr>
        <w:t xml:space="preserve"> </w:t>
      </w:r>
      <w:r>
        <w:rPr>
          <w:rFonts w:ascii="Arial" w:cs="Arial" w:eastAsia="Arial" w:hAnsi="Arial"/>
          <w:sz w:val="18"/>
          <w:szCs w:val="18"/>
          <w:color w:val="auto"/>
        </w:rPr>
        <w:t>BCX7353 is a second generation HAE compound and our lead molecule that is being developed as a once-daily (“QD”) oral therapy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prevention of HAE attacks (prophylaxis), as well as an acute therapy for HAE attacks. We completed our Phase 2 prophylaxis program (with the completion of APeX-1 and subsequent FDA and EMA regulatory interactions) and in early 2018 initiated APeX-2 and APeX-S, a Phase 3 and a long-term safety clinical trial, respectively, required for marketing authorization in the United States and the EU. In addition, we have also initiated APeX-J in early 2019, a clinical trial designed to complete the requirements for Japanese marketing authorization, in conjunction with our other BCX7353 clinical trials, for the prevention of HAE attacks.</w:t>
      </w:r>
    </w:p>
    <w:p>
      <w:pPr>
        <w:spacing w:after="0" w:line="193" w:lineRule="exact"/>
        <w:rPr>
          <w:sz w:val="20"/>
          <w:szCs w:val="20"/>
          <w:color w:val="auto"/>
        </w:rPr>
      </w:pPr>
    </w:p>
    <w:p>
      <w:pPr>
        <w:ind w:right="100" w:firstLine="492"/>
        <w:spacing w:after="0" w:line="308" w:lineRule="auto"/>
        <w:rPr>
          <w:sz w:val="20"/>
          <w:szCs w:val="20"/>
          <w:color w:val="auto"/>
        </w:rPr>
      </w:pPr>
      <w:r>
        <w:rPr>
          <w:rFonts w:ascii="Arial" w:cs="Arial" w:eastAsia="Arial" w:hAnsi="Arial"/>
          <w:sz w:val="17"/>
          <w:szCs w:val="17"/>
          <w:color w:val="auto"/>
        </w:rPr>
        <w:t>We are also developing BCX7353 as an oral treatment of acute HAE attacks. Accordingly, we have recently completed ZENITH-1, an adaptive dose-ranging proof-of-concept Phase 2 clinical trial evaluating efficacy, safety and tolerability for the oral treatment of acute HAE attacks.</w:t>
      </w:r>
    </w:p>
    <w:p>
      <w:pPr>
        <w:spacing w:after="0" w:line="147" w:lineRule="exact"/>
        <w:rPr>
          <w:sz w:val="20"/>
          <w:szCs w:val="20"/>
          <w:color w:val="auto"/>
        </w:rPr>
      </w:pPr>
    </w:p>
    <w:p>
      <w:pPr>
        <w:ind w:firstLine="492"/>
        <w:spacing w:after="0" w:line="259" w:lineRule="auto"/>
        <w:rPr>
          <w:sz w:val="20"/>
          <w:szCs w:val="20"/>
          <w:color w:val="auto"/>
        </w:rPr>
      </w:pPr>
      <w:r>
        <w:rPr>
          <w:rFonts w:ascii="Arial" w:cs="Arial" w:eastAsia="Arial" w:hAnsi="Arial"/>
          <w:sz w:val="18"/>
          <w:szCs w:val="18"/>
          <w:color w:val="auto"/>
        </w:rPr>
        <w:t>On August 6, 2018 we announced that Fast Track Designation was granted by the FDA for BCX7353 for the prevention of angioedema attacks in patients with HAE. In addition, in May 2018, we announced that the United Kingdom’s Medicines and Healthcare products Regulatory Agency had granted a Promising Innovative Medicine designation to BCX7353. We have received orphan drug status from the FDA, EMA, and the Japanese Pharmaceuticals and Medical Devices Agency (“PDMA”) for BCX7353.</w:t>
      </w:r>
    </w:p>
    <w:p>
      <w:pPr>
        <w:spacing w:after="0" w:line="187" w:lineRule="exact"/>
        <w:rPr>
          <w:sz w:val="20"/>
          <w:szCs w:val="20"/>
          <w:color w:val="auto"/>
        </w:rPr>
      </w:pPr>
    </w:p>
    <w:p>
      <w:pPr>
        <w:ind w:right="120" w:firstLine="492"/>
        <w:spacing w:after="0" w:line="257" w:lineRule="auto"/>
        <w:rPr>
          <w:sz w:val="20"/>
          <w:szCs w:val="20"/>
          <w:color w:val="auto"/>
        </w:rPr>
      </w:pPr>
      <w:r>
        <w:rPr>
          <w:rFonts w:ascii="Arial" w:cs="Arial" w:eastAsia="Arial" w:hAnsi="Arial"/>
          <w:sz w:val="18"/>
          <w:szCs w:val="18"/>
          <w:color w:val="auto"/>
        </w:rPr>
        <w:t>On October 27, 2015 The Japanese Ministry of Health Labor &amp; Welfare (“MHLW”) announced that BioCryst’s BCX7353 was one of six products designated under the MHLW’s Sakigake fast track review system. The Sakigake designation system promotes research and development in Japan, aiming at early market availability for innovative pharmaceutical products. This designation provides for additional interactions with the regulatory agency in Japan from early development through filing, prioritized development and review, and introduction of the product as soon as possible to address a serious unmet medical need.</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ind w:right="100" w:firstLine="492"/>
        <w:spacing w:after="0" w:line="291" w:lineRule="auto"/>
        <w:rPr>
          <w:sz w:val="20"/>
          <w:szCs w:val="20"/>
          <w:color w:val="auto"/>
        </w:rPr>
      </w:pPr>
      <w:r>
        <w:rPr>
          <w:rFonts w:ascii="Arial" w:cs="Arial" w:eastAsia="Arial" w:hAnsi="Arial"/>
          <w:sz w:val="16"/>
          <w:szCs w:val="16"/>
          <w:i w:val="1"/>
          <w:iCs w:val="1"/>
          <w:u w:val="single" w:color="auto"/>
          <w:color w:val="auto"/>
        </w:rPr>
        <w:t>APeX-1 Phase 2 Trial in HAE</w:t>
      </w:r>
      <w:r>
        <w:rPr>
          <w:rFonts w:ascii="Arial" w:cs="Arial" w:eastAsia="Arial" w:hAnsi="Arial"/>
          <w:sz w:val="16"/>
          <w:szCs w:val="16"/>
          <w:color w:val="auto"/>
        </w:rPr>
        <w:t>: On September 5, 2017, we announced final results from the Phase 2 APeX-1 clinical trial in HAE patients. The trial</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were subsequently published in the New England Journal of Medicine (N Engl J Med 2018; 379:352-62). Seventy-five subjects were randomized and dosed and included in the final analysis of pooled data from Parts 1, 2 and 3: 7 at 62.5 mg, 14 at 125 mg, 14 at 250 mg and 18 at 350 mg of BCX7353 QD; and 22 placebo. The qualifying attack rate was approximately 1/week. Baseline characteristics were generally well balanced across the treatment groups. Compliance with daily study drug dosing for 28 days was excellent (≥ 98% across all treatment groups). Subjects recorded angioedema symptoms in a diary; diary records were reviewed and attacks adjudicated by an independent expert group. The primary endpoint of the trial was the rate of HAE attacks. The pre-specified per-protocol final analysis included data on a total of 67 subjects with Type I or Type II HAE completing &gt; 90% of planned study drug doses.</w:t>
      </w:r>
    </w:p>
    <w:p>
      <w:pPr>
        <w:spacing w:after="0" w:line="167" w:lineRule="exact"/>
        <w:rPr>
          <w:sz w:val="20"/>
          <w:szCs w:val="20"/>
          <w:color w:val="auto"/>
        </w:rPr>
      </w:pPr>
    </w:p>
    <w:p>
      <w:pPr>
        <w:ind w:right="260" w:firstLine="492"/>
        <w:spacing w:after="0" w:line="272" w:lineRule="auto"/>
        <w:rPr>
          <w:sz w:val="20"/>
          <w:szCs w:val="20"/>
          <w:color w:val="auto"/>
        </w:rPr>
      </w:pPr>
      <w:r>
        <w:rPr>
          <w:rFonts w:ascii="Arial" w:cs="Arial" w:eastAsia="Arial" w:hAnsi="Arial"/>
          <w:sz w:val="17"/>
          <w:szCs w:val="17"/>
          <w:color w:val="auto"/>
        </w:rPr>
        <w:t>The 125 mg dose level showed statistically significant and similar benefit for all attacks (reduction of attack rate by 74% (p &lt; 0.001), per-protocol population, weeks 2-4). The 125 mg dose level also showed statistically significant and similar benefit when split into abdominal attacks and peripheral attacks. In contrast, at the 250 mg and 350 mg dose levels, there was no statistically significant effect for abdominal attacks, despite strong and statistically significant effects on peripheral attacks. Based on these findings, it is likely that subjects in the 250 mg and 350 mg arms recorded transient drug-related abdominal AEs as HAE attack symptoms in their diary. The lowest dose tested (62.5 mg QD) showed no statistically significant differences in attack rates (total, or when split into abdominal and peripheral) compared with placebo. The range of doses studied and associated results completed the dose response evaluation required to inform Phase 3 dose selection.</w:t>
      </w:r>
    </w:p>
    <w:p>
      <w:pPr>
        <w:spacing w:after="0" w:line="178"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Oral BCX7353 once-daily for 28 days was generally safe and well tolerated in subjects with HAE. Overall, there was one serious adverse event of moderate gastrointestinal infection that was determined by the investigator not to be drug-related. Study drug was discontinued before day 28 in three subjects in the BCX7353 350 mg treatment arm (unrelated pre-existing liver disorder; related gastroenteritis with liver disorder; and related vomiting/abdominal cramps). The most common treatment-emergent AEs in descending order of frequency were the common cold, headache, diarrhea, nausea and abdominal pain. Gastrointestinal AEs were infrequent at the 125 mg and 62.5 mg dose levels, and there were no clinically significant laboratory abnormalities at these dose levels, though increases in liver enzymes were observed in several subjects at higher dose levels. Adverse events in the gastrointestinal system organ class were more frequent in the 350 mg QD and 250 mg QD dose groups compared to placebo. Elevated liver enzymes were reported in several subjects, and an analysis of liver enzyme safety tests including alanine aminotransferase (“ALT”) levels showed that of 4 subjects who had elevations of ALT to more than or equal to 3 times the upper limit of normal (“ULN”), all 4 had prior exposure to androgens, 3 were in the 350 mg QD group, 1 was in the 250 mg QD group, and 3 had baseline (prior to study drug administration) elevations in ALT of close to or greater than 3 times the ULN.</w:t>
      </w:r>
    </w:p>
    <w:p>
      <w:pPr>
        <w:spacing w:after="0" w:line="16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Steady state trough drug levels (24 hours after dosing) exceeded the proposed target threshold for efficacy in 0%, 57%, 100% and 100% of subjects at the 62.5 mg, 125 mg, 250 mg and 350 mg dose levels, respectively.</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ind w:right="60" w:firstLine="492"/>
        <w:spacing w:after="0" w:line="255" w:lineRule="auto"/>
        <w:rPr>
          <w:sz w:val="20"/>
          <w:szCs w:val="20"/>
          <w:color w:val="auto"/>
        </w:rPr>
      </w:pPr>
      <w:r>
        <w:rPr>
          <w:rFonts w:ascii="Arial" w:cs="Arial" w:eastAsia="Arial" w:hAnsi="Arial"/>
          <w:sz w:val="18"/>
          <w:szCs w:val="18"/>
          <w:color w:val="auto"/>
        </w:rPr>
        <w:t>In the fourth quarter of 2017, we completed regulatory interactions with the FDA and EMA and reached agreement on the Phase 3 program requirements to support NDA and MAA submissions for prophylactic treatment of HAE with BCX7353. Based upon this agreement, we began the APeX-S and APeX-2 clinical trials, which are the significant aspects of the remaining development program needed to receive commercial authorization in the United States and the EU. On March 25, 2018, we announced that we dosed the first patient in a 24-week randomized, double-blind, placebo-controlled Phase 3 clinical trial studying two doses of BCX7353 (“APeX-2”). Patients in APeX-2 will roll-over into a 24 week safety extension. On February 28, 2018, we announced that we initiated a long-term safety trial (“APeX-S”), which will enroll approximately 160 patients who will be allocated to the two doses of BCX7353 included in APeX-2.</w:t>
      </w:r>
    </w:p>
    <w:p>
      <w:pPr>
        <w:spacing w:after="0" w:line="189"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doses studied in APeX-1 are expressed as the dihydrochloride salt of the drug. We changed the nomenclature after the Phase 2 APeX-1 trial to express the doses selected for evaluation in the APeX-2 trial in terms of the free base of the drug. Thus, a 125 mg dose in APeX-2 (dihydrochloride salt) is the same amount of active ingredient as the 110 mg dose in APeX-2, expressed as the free base. The 150 mg (free base) dose in APeX-2 was not studied in the Phase 2 APeX-1 trial.</w:t>
      </w:r>
    </w:p>
    <w:p>
      <w:pPr>
        <w:spacing w:after="0" w:line="187" w:lineRule="exact"/>
        <w:rPr>
          <w:sz w:val="20"/>
          <w:szCs w:val="20"/>
          <w:color w:val="auto"/>
        </w:rPr>
      </w:pPr>
    </w:p>
    <w:p>
      <w:pPr>
        <w:ind w:right="220" w:firstLine="492"/>
        <w:spacing w:after="0" w:line="257" w:lineRule="auto"/>
        <w:rPr>
          <w:sz w:val="20"/>
          <w:szCs w:val="20"/>
          <w:color w:val="auto"/>
        </w:rPr>
      </w:pPr>
      <w:r>
        <w:rPr>
          <w:rFonts w:ascii="Arial" w:cs="Arial" w:eastAsia="Arial" w:hAnsi="Arial"/>
          <w:sz w:val="18"/>
          <w:szCs w:val="18"/>
          <w:i w:val="1"/>
          <w:iCs w:val="1"/>
          <w:u w:val="single" w:color="auto"/>
          <w:color w:val="auto"/>
        </w:rPr>
        <w:t>APeX-2 Trial</w:t>
      </w:r>
      <w:r>
        <w:rPr>
          <w:rFonts w:ascii="Arial" w:cs="Arial" w:eastAsia="Arial" w:hAnsi="Arial"/>
          <w:sz w:val="18"/>
          <w:szCs w:val="18"/>
          <w:i w:val="1"/>
          <w:iCs w:val="1"/>
          <w:color w:val="auto"/>
        </w:rPr>
        <w:t xml:space="preserve">: </w:t>
      </w:r>
      <w:r>
        <w:rPr>
          <w:rFonts w:ascii="Arial" w:cs="Arial" w:eastAsia="Arial" w:hAnsi="Arial"/>
          <w:sz w:val="18"/>
          <w:szCs w:val="18"/>
          <w:color w:val="auto"/>
        </w:rPr>
        <w:t>APeX-2 is a Phase 3 double-blinded, placebo-controlled, three-arm clinical trial evaluating two dose levels of BCX7353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orally once-daily as a preventive treatment to reduce the frequency of attacks in patients with HAE. APeX-2 is testing once-daily BCX7353 at 110 mg and 150 mg for prevention of angioedema attacks. The trial enrolled patients with Type I and II HAE in the United States, Canada and Europe. The primary efficacy endpoint of APeX-2 is the rate of angioedema attacks over 24 weeks of study drug administration. On November 6, 2018, we announced we had completed enrollment in APeX-2 and had enrolled approximately 120 patients.</w:t>
      </w:r>
    </w:p>
    <w:p>
      <w:pPr>
        <w:spacing w:after="0" w:line="188" w:lineRule="exact"/>
        <w:rPr>
          <w:sz w:val="20"/>
          <w:szCs w:val="20"/>
          <w:color w:val="auto"/>
        </w:rPr>
      </w:pPr>
    </w:p>
    <w:p>
      <w:pPr>
        <w:ind w:right="160" w:firstLine="537"/>
        <w:spacing w:after="0" w:line="302" w:lineRule="auto"/>
        <w:rPr>
          <w:sz w:val="20"/>
          <w:szCs w:val="20"/>
          <w:color w:val="auto"/>
        </w:rPr>
      </w:pPr>
      <w:r>
        <w:rPr>
          <w:rFonts w:ascii="Arial" w:cs="Arial" w:eastAsia="Arial" w:hAnsi="Arial"/>
          <w:sz w:val="16"/>
          <w:szCs w:val="16"/>
          <w:i w:val="1"/>
          <w:iCs w:val="1"/>
          <w:u w:val="single" w:color="auto"/>
          <w:color w:val="auto"/>
        </w:rPr>
        <w:t>APeX-S Trial</w:t>
      </w:r>
      <w:r>
        <w:rPr>
          <w:rFonts w:ascii="Arial" w:cs="Arial" w:eastAsia="Arial" w:hAnsi="Arial"/>
          <w:sz w:val="16"/>
          <w:szCs w:val="16"/>
          <w:i w:val="1"/>
          <w:iCs w:val="1"/>
          <w:color w:val="auto"/>
        </w:rPr>
        <w:t xml:space="preserve">: </w:t>
      </w:r>
      <w:r>
        <w:rPr>
          <w:rFonts w:ascii="Arial" w:cs="Arial" w:eastAsia="Arial" w:hAnsi="Arial"/>
          <w:sz w:val="16"/>
          <w:szCs w:val="16"/>
          <w:color w:val="auto"/>
        </w:rPr>
        <w:t>APeX-S is a long-term safety trial evaluating two dose levels of BCX7353 administered orally once-daily as a preventive treatment in</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with HAE. APeX-S is an open label two-arm trial to evaluate the safety of once-daily BCX7353 at 110 mg and 150 mg over 48 weeks in patients with Type I and II HAE. The trial will enroll at least 160 patients. On November 6, 2018, we announced we have met the 100 subjects needed at each dose level (cumulative, summing APeX-2 and APeX-S) for regulatory requirements and expect to file a NDA in the fourth quarter of 2019.</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APeX-2 and APeX-S trials have both recently been amended to extend the duration of dosing through 96 weeks.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u w:val="single" w:color="auto"/>
          <w:color w:val="auto"/>
        </w:rPr>
        <w:t>ZENITH-1 Trial</w:t>
      </w:r>
      <w:r>
        <w:rPr>
          <w:rFonts w:ascii="Arial" w:cs="Arial" w:eastAsia="Arial" w:hAnsi="Arial"/>
          <w:sz w:val="18"/>
          <w:szCs w:val="18"/>
          <w:color w:val="auto"/>
        </w:rPr>
        <w:t>: On August 2, 2017, we announced the dosing of the first subject into ZENITH-1, a clinical trial studying three dose levels of a liquid</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 of BCX7353 given as a single oral dose for the acute treatment of angioedema attacks in patients with HAE. ZENITH-1 is a randomized, double-blind, placebo-controlled, adaptive dose-ranging trial of the efficacy, safety and tolerability of BCX7353 for treatment of acute angioedema attacks, and enrolled subjects with Type I and II HAE. Blinded study drug was dosed as an oral liquid after onset of symptoms, for up to 3 attacks in each subject, with each subject receiving both BCX7353 (for 2 attacks) and placebo (for one attack) in a randomized sequence. The trial was structured for three consecutive cohorts testing single doses of 750 mg, 500 mg and 250 mg.</w:t>
      </w:r>
    </w:p>
    <w:p>
      <w:pPr>
        <w:spacing w:after="0" w:line="19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February 23, 2019, we reported topline data from the completed Phase 2 ZENITH-1 trial. Data from the complete trial confirmed previously-reported results showing a single dose of oral 750 mg BCX7353 was well-tolerated and superior to placebo (p&lt;0.05) against the majority of efficacy endpoints evaluated in HAE patients suffering an acute attack, and demonstrated a clear dose response across the three dose levels evaluated, 250 mg, 500 mg and 750 mg. With the 750 mg dose, compared to placebo, improvements in symptoms and Visual Analog Scale (“VAS”) scores were demonstrated as early as one hour after oral BCX7353 dosing (the first timepoint evaluated), and were sustained through 24 hours. Through 24 hours, standard of care (“SOC”) medication use was reduced by 31.6% after BCX7353 compared with placebo (p=0.0029), and no or mild symptoms were reported in 64.1% of attacks treated with BCX7353 compared with 32.3% of attacks treated with placebo (p=0.0038).</w:t>
      </w:r>
    </w:p>
    <w:p>
      <w:pPr>
        <w:spacing w:after="0" w:line="17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BCX7353 was generally safe and well-tolerated with no notable differentiation from the adverse event profile of placebo. The most commonly reported adverse events were diarrhea, abdominal pain, nausea, headache and nasopharyngitis. There were three discontinuations in the trial: one following a BCX7353 750 mg dose due to a transient, localized rash; one following a BCX7353 500 mg dose due to grade 2 vomiting and nausea and one following a placebo dose due to abdominal pain. With the exception of an unrelated ankle fracture, there were no grade 3 or 4 adverse events, and no grade 3 or 4 laboratory abnormalities.</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met with EU National Agencies in the first quarter of 2019. Based on the results of ZENITH-1, we plan to meet with the FDA in the second quarter, and to commence a Phase 3 trial with the 750 mg dose of oral BCX7353 in the summer of 2019.</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Complement-Mediated Diseases</w:t>
      </w:r>
    </w:p>
    <w:p>
      <w:pPr>
        <w:spacing w:after="0" w:line="229"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The complement system is part of the body’s natural immune system and is responsible for helping the body eliminate microbes (including viral and bacterial infections) and damaged cells. It is comprised of proteins which are primarily produced in the liver and circulate in the blood. Once activated, the complement system stimulates inflammation, phagocytosis and cell lysis. Excessive or uncontrolled activation of the complement system can cause severe, and potentially fatal, immune and inflammatory disorders. The complement system comprises biological cascades of amplifying enzyme cleavages involving more than 30 proteins and protein fragments, and may be activated through three pathways: the classical pathway (initiated by antibody-antigen complexes), the lectin pathway (initiated by lectin binding) and the alternative pathway (initiated by microbial surfaces). The alternative pathway also provides a critical amplification loop for all three pathways, regardless of the initiating mechanism. Factor D is an essential enzyme in the alternative pathway, thus making Factor D an attractive target to address complement-mediated diseases. Several rare diseases are known to be mediated by dysregulation of the complement system.</w:t>
      </w:r>
    </w:p>
    <w:p>
      <w:pPr>
        <w:spacing w:after="0" w:line="19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are in the process advancing BCX9930, an oral Factor D inhibitor discovered and developed by BioCryst, into Phase 1 clinical development in the second quarter of 2019 for the treatment of complement-mediated diseases. We are completing clinical drug manufacturing to support Phase 1 trials beginning in the second quarter of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Fibrodysplasia Ossificans Progressiva (“FOP”) Drug Candidates</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FOP is a very rare disease that affects approximately 1 in 2 million people worldwide. FOP is a rare, severely disabling condition characterized by the irregular formation of bone outside the normal skeleton, also known as heterotopic ossification (“HO”). HO can occur in muscles, tendons and soft tissue. FOP patients progressively become bound by this irregular ossification, with restricted movement and fused joints, resulting in deformities and premature mortality. In patients with FOP, minor trauma can result in rapid development of painful inflammatory masses. These progress over several weeks resulting in the replacement of the affected soft tissue by permanent bone masses. There is no cure for this condition, and there are no approved treatments for FOP.</w:t>
      </w:r>
    </w:p>
    <w:p>
      <w:pPr>
        <w:spacing w:after="0" w:line="15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January 5, 2018, we announced the advancement of a program exploring activin receptor-like kinase-2 (“ALK2”) inhibitors for treatment of FOP. ALK2 enzyme is a part of the normal signaling pathway for bone formation and responds to binding its specific ligands (bone morphogenic proteins, or BMPs), by stimulating normal bone growth and renewal in healthy children and adults. Specific activating mutations of the ALK2 gene are seen in all cases of FOP. An activating mutation in ALK2 is necessary for the disease to occur, making the ALK2 kinase an ideal drug target for treatment of FOP with an ALK2 kinase inhibitor. We plan to submit an Investigational New Drug Application (“IND”) for one of our optimized lead candidates, BCX9250, in the second half of 2019. BCX9250 was selected from a number of potential candidates based on potency for the target kinase, selectivity, nonclinical PK, safety screening studies, and nonclinical safety evaluations. GLP-compliant nonclinical safety pharmacology and toxicology studies required for initiation of clinical studies have been completed. We are completing clinical drug manufacturing to support Phase 1 trials beginning in the second half of 2019, and clinical trials in patients with FOP in 2020.</w:t>
      </w:r>
    </w:p>
    <w:p>
      <w:pPr>
        <w:spacing w:after="0" w:line="197" w:lineRule="exact"/>
        <w:rPr>
          <w:sz w:val="20"/>
          <w:szCs w:val="20"/>
          <w:color w:val="auto"/>
        </w:rPr>
      </w:pPr>
    </w:p>
    <w:p>
      <w:pPr>
        <w:jc w:val="both"/>
        <w:ind w:right="40" w:firstLine="492"/>
        <w:spacing w:after="0" w:line="264" w:lineRule="auto"/>
        <w:rPr>
          <w:sz w:val="20"/>
          <w:szCs w:val="20"/>
          <w:color w:val="auto"/>
        </w:rPr>
      </w:pPr>
      <w:r>
        <w:rPr>
          <w:rFonts w:ascii="Arial" w:cs="Arial" w:eastAsia="Arial" w:hAnsi="Arial"/>
          <w:sz w:val="18"/>
          <w:szCs w:val="18"/>
          <w:color w:val="auto"/>
        </w:rPr>
        <w:t>The goal of the ALK2 inhibitor project at BioCryst is to discover and develop orally administered kinase inhibitor drug candidates that are able to slow or prevent the progressive formation of bone in soft tissues, also known as heterotopic ossification (“HO”). BCX9250 reduced HO in an experimental model of ALK2-driven HO in laboratory rats, with up to 89 percent reduction in volume of HO compared to controls.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Galidesivir (formerly BCX4430)</w:t>
      </w:r>
    </w:p>
    <w:p>
      <w:pPr>
        <w:spacing w:after="0" w:line="229" w:lineRule="exact"/>
        <w:rPr>
          <w:sz w:val="20"/>
          <w:szCs w:val="20"/>
          <w:color w:val="auto"/>
        </w:rPr>
      </w:pPr>
    </w:p>
    <w:p>
      <w:pPr>
        <w:ind w:right="260" w:firstLine="492"/>
        <w:spacing w:after="0" w:line="290" w:lineRule="auto"/>
        <w:rPr>
          <w:sz w:val="20"/>
          <w:szCs w:val="20"/>
          <w:color w:val="auto"/>
        </w:rPr>
      </w:pPr>
      <w:r>
        <w:rPr>
          <w:rFonts w:ascii="Arial" w:cs="Arial" w:eastAsia="Arial" w:hAnsi="Arial"/>
          <w:sz w:val="16"/>
          <w:szCs w:val="16"/>
          <w:color w:val="auto"/>
        </w:rPr>
        <w:t>Galidesivir is a broad-spectrum antiviral (“BSAV”) research program and is currently being developed under contracts with the National Institute of Allergy and Infectious Diseases (“NIAID/HHS”) and the U.S. Department of Health and Human Services (“BARDA/HHS”). The objective of our BSAV program is to develop galidesivir as a broad-spectrum therapeutic for viruses that pose a threat to national health and security. The primary focus of the program is treatment of hemorrhagic fever viruses. NIAID/HHS funding has supported galidesivir’s development as a treatment for Marburg virus, Yellow Fever and Ebola virus. Galidesivir has been shown to be active against more than 20 RNA viruses in nine different families, including filoviruses, togaviruses, bunyaviruses, arenaviruses, paramyxoviruses, coronaviruses and flaviviruses. In animal studies, galidesivir has demonstrated survival benefits against a variety of serious pathogens, including Marburg, Yellow Fever, Ebola, and Zika viruses and from exposures to aerosolized Marburg virus, an experimental condition designed to mimic an exposure scenario that could result during a bioterrorist attack.</w:t>
      </w:r>
    </w:p>
    <w:p>
      <w:pPr>
        <w:spacing w:after="0" w:line="166" w:lineRule="exact"/>
        <w:rPr>
          <w:sz w:val="20"/>
          <w:szCs w:val="20"/>
          <w:color w:val="auto"/>
        </w:rPr>
      </w:pPr>
    </w:p>
    <w:p>
      <w:pPr>
        <w:ind w:right="60" w:firstLine="492"/>
        <w:spacing w:after="0" w:line="288" w:lineRule="auto"/>
        <w:rPr>
          <w:sz w:val="20"/>
          <w:szCs w:val="20"/>
          <w:color w:val="auto"/>
        </w:rPr>
      </w:pPr>
      <w:r>
        <w:rPr>
          <w:rFonts w:ascii="Arial" w:cs="Arial" w:eastAsia="Arial" w:hAnsi="Arial"/>
          <w:sz w:val="16"/>
          <w:szCs w:val="16"/>
          <w:color w:val="auto"/>
        </w:rPr>
        <w:t>On December 15, 2014, we announced the dosing of the first subject in a randomized, placebo-controlled Phase 1 clinical trial to evaluate i.m. administration of galidesivir in healthy volunteers. The main goals of this first-in-human study were to evaluate the safety, tolerability and pharmacokinetics of escalating doses of galidesivir administered via i.m. injection in healthy subjects. In part one of the study, subjects received a single dose of galidesivir; in part two of the study, subjects received galidesivir for seven days. There were six single-dose cohorts and four multiple-dose cohorts evaluated, and 91 healthy volunteers participated. In August 2016, we reported the results of this study. Galidesivir administered by i.m. injection was generally safe and well tolerated over the range of doses up to 10 mg/kg, and durations tested (up to 7 days). Fifty subjects received doses of study drug and there were no serious or severe adverse events. The most frequently reported adverse event across all cohorts was injection site pain and there were no clinically significant laboratory abnormalities which occurred at any doses. In addition, co-administration of lidocaine with galidesivir was determined to ameliorate injection site pain without altering the plasma pharmacokinetics profile of galidesivir. From this clinical trial, we determined galidesivir was safe and well tolerated, and that exposure was dose-proportional and supported the continued development of this BSAV drug candidate for serious emerging viral infections.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right="20" w:firstLine="486"/>
        <w:spacing w:after="0" w:line="257" w:lineRule="auto"/>
        <w:rPr>
          <w:sz w:val="20"/>
          <w:szCs w:val="20"/>
          <w:color w:val="auto"/>
        </w:rPr>
      </w:pPr>
      <w:r>
        <w:rPr>
          <w:rFonts w:ascii="Arial" w:cs="Arial" w:eastAsia="Arial" w:hAnsi="Arial"/>
          <w:sz w:val="18"/>
          <w:szCs w:val="18"/>
          <w:color w:val="auto"/>
        </w:rPr>
        <w:t>On September 17, 2018, we announced that NIAID/HHS had awarded us an additional $3.5 million under our existing contract to support and conduct clinical trials of galidesivir in patients with Yellow Fever. We are in the process of initiating an exploratory Phase 2 clinical trial evaluating galidesivir in Yellow Fever patients in Brazil, with the trial expected to begin in 2019. As of December 31, 2018, the total NIAID/HHS contract amount is $43.0 million. The galidesivir BARDA/HHS contract has a potential value of $39.1 million if all contract options are exercised. As of December 31, 2018, a total of $20.6 million has been awarded under exercised options within this contract.</w:t>
      </w:r>
    </w:p>
    <w:p>
      <w:pPr>
        <w:spacing w:after="0" w:line="188" w:lineRule="exact"/>
        <w:rPr>
          <w:sz w:val="20"/>
          <w:szCs w:val="20"/>
          <w:color w:val="auto"/>
        </w:rPr>
      </w:pPr>
    </w:p>
    <w:p>
      <w:pPr>
        <w:ind w:right="200" w:firstLine="486"/>
        <w:spacing w:after="0" w:line="286" w:lineRule="auto"/>
        <w:rPr>
          <w:sz w:val="20"/>
          <w:szCs w:val="20"/>
          <w:color w:val="auto"/>
        </w:rPr>
      </w:pPr>
      <w:r>
        <w:rPr>
          <w:rFonts w:ascii="Arial" w:cs="Arial" w:eastAsia="Arial" w:hAnsi="Arial"/>
          <w:sz w:val="17"/>
          <w:szCs w:val="17"/>
          <w:color w:val="auto"/>
        </w:rPr>
        <w:t>On January 2, 2019, we announced the dosing of the first subject in a randomized, placebo-controlled phase 1 clinical trial to evaluate intravenous galidesivir in healthy volunteers. The main goals of this trial are to evaluate the safety, tolerability and pharmacokinetics of escalating intravenous doses of galidesivir in healthy subjects. Up to four single-dose cohorts will be evaluated with a total of up to 32 volunteers participating.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Mundesine (forodesine)</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Mundesine is a Purine Nucleoside Phosphorylase (“PNP”) inhibitor developed by Mundipharma as a treatment for cancer under a world-wide license agreement. PNP is a purine salvage pathway enzyme. High doses of PNP inhibitors could be useful in the treatment of hematological malignancies. Mundipharma has received orphan drug status for Mundesine, and following its successful completion of a Phase 2 pivotal study in recurrent/refractory peripheral T-cell lymphoma (“PTCL”) patients in Japan, Mundesine was approved in April 2017 by the MHLW in Japan. We are currently receiving royalties on Mundesine.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In-License Relationships</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u w:val="single" w:color="auto"/>
          <w:color w:val="auto"/>
        </w:rPr>
        <w:t>U.S. Department of Health and Human Services (“BARDA/HHS”)</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2007, BARDA/HHS awarded us a contract for the advanced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peramivir for the treatment of influenza. This contract was amended multiple times and ultimately became a $234.8 million contract award that provided funding to support the filing of an NDA to seek regulatory approval for peramivir in the U.S. In December 2014, the FDA approved the NDA. The BARDA/HHS contract expired on June 30, 2014 according to its terms.</w:t>
      </w:r>
    </w:p>
    <w:p>
      <w:pPr>
        <w:spacing w:after="0" w:line="187"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On March 31, 2015, we announced that BARDA/HHS awarded us a contract for the continued development of galidesivir as a potential treatment for diseases caused by RNA pathogens, including filoviruses. This BARDA/HHS contract has a potential value of $39.1 million if all contract options are exercised. As of December 31, 2018, a total of $20.6 million has been awarded under exercised options within this contract.</w:t>
      </w:r>
    </w:p>
    <w:p>
      <w:pPr>
        <w:spacing w:after="0" w:line="166"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i w:val="1"/>
          <w:iCs w:val="1"/>
          <w:u w:val="single" w:color="auto"/>
          <w:color w:val="auto"/>
        </w:rPr>
        <w:t>National Institute of Allergy and Infectious Diseases (“NIAID/HHS”)</w:t>
      </w:r>
      <w:r>
        <w:rPr>
          <w:rFonts w:ascii="Arial" w:cs="Arial" w:eastAsia="Arial" w:hAnsi="Arial"/>
          <w:sz w:val="17"/>
          <w:szCs w:val="17"/>
          <w:i w:val="1"/>
          <w:iCs w:val="1"/>
          <w:color w:val="auto"/>
        </w:rPr>
        <w:t xml:space="preserve">. </w:t>
      </w:r>
      <w:r>
        <w:rPr>
          <w:rFonts w:ascii="Arial" w:cs="Arial" w:eastAsia="Arial" w:hAnsi="Arial"/>
          <w:sz w:val="17"/>
          <w:szCs w:val="17"/>
          <w:color w:val="auto"/>
        </w:rPr>
        <w:t>In September 2013, NIAID/HHS contracted with us for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galidesivir as a treatment for Marburg, and subsequently, Yellow Fever and Ebola virus disease. NIAID/HHS, part of the National Institutes of Health, made an initial award of $5.0 million to us. All options under this contract have been awarded and the total contract value is $43.0 million. The goals of this contract, including amendments, are to file IND applications for i.v. and i.m. galidesivir for the treatment of Marburg virus disease and other hemorrhagic fever viruses, to study galidesivir as a treatment for Yellow Fever and Ebola virus disease, and to conduct Phase 1 human clinical trials.</w:t>
      </w:r>
    </w:p>
    <w:p>
      <w:pPr>
        <w:spacing w:after="0" w:line="173"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contracts with BARDA/HHS and NIAID/HHS are cost-plus-fixed-fee contracts. That is, we are entitled to receive reimbursement for all costs incurred in accordance with the contracts provisions that are related to the development of peramivir and galidesivir plus a fixed fee, or profit. BARDA/HHS and NIAID/HHS will make periodic assessments of progress and the continuation of the contract is based on our performance, the timeliness and quality of deliverables, and other factors. The government has rights under certain contract clauses to terminate these contracts. These contracts are also terminable by the government at any time for breach or without cause.</w:t>
      </w:r>
    </w:p>
    <w:p>
      <w:pPr>
        <w:spacing w:after="0" w:line="188" w:lineRule="exact"/>
        <w:rPr>
          <w:sz w:val="20"/>
          <w:szCs w:val="20"/>
          <w:color w:val="auto"/>
        </w:rPr>
      </w:pPr>
    </w:p>
    <w:p>
      <w:pPr>
        <w:jc w:val="both"/>
        <w:ind w:right="100" w:firstLine="486"/>
        <w:spacing w:after="0" w:line="276" w:lineRule="auto"/>
        <w:rPr>
          <w:sz w:val="20"/>
          <w:szCs w:val="20"/>
          <w:color w:val="auto"/>
        </w:rPr>
      </w:pPr>
      <w:r>
        <w:rPr>
          <w:rFonts w:ascii="Arial" w:cs="Arial" w:eastAsia="Arial" w:hAnsi="Arial"/>
          <w:sz w:val="17"/>
          <w:szCs w:val="17"/>
          <w:i w:val="1"/>
          <w:iCs w:val="1"/>
          <w:u w:val="single" w:color="auto"/>
          <w:color w:val="auto"/>
        </w:rPr>
        <w:t>Seqirus UK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On June 16, 2015, we and SUL, a limited company organized under the laws of the United Kingdom and a subsidiary of CSL,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organized under the laws of Australia, entered into the SUL Agreement granting SUL and its affiliates worldwide rights to develop, manufacture and commercialize peramivir for the treatment of influenza except for the rights to conduct such activities in Israel, Japan, Korea and Taiwan (the permitted geographies together constituting the “Territory”). We retain all rights and associated economics to procure pandemic stockpiling orders for RAPIVAB from the U.S. Government, while SUL has the right to pursue government stockpiling outside the U.S.</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10" w:name="page11"/>
    <w:bookmarkEnd w:id="10"/>
    <w:p>
      <w:pPr>
        <w:ind w:firstLine="486"/>
        <w:spacing w:after="0" w:line="257" w:lineRule="auto"/>
        <w:rPr>
          <w:sz w:val="20"/>
          <w:szCs w:val="20"/>
          <w:color w:val="auto"/>
        </w:rPr>
      </w:pPr>
      <w:r>
        <w:rPr>
          <w:rFonts w:ascii="Arial" w:cs="Arial" w:eastAsia="Arial" w:hAnsi="Arial"/>
          <w:sz w:val="18"/>
          <w:szCs w:val="18"/>
          <w:color w:val="auto"/>
        </w:rPr>
        <w:t>Pursuant to the SUL Agreement, peramivir is being commercialized by CSL’s subsidiary, SUL, which specializes in influenza prevention through the supply of seasonal and pandemic vaccine to global markets. SUL is responsible for the manufacture, commercialization and decision-making authority with respect to the development and commercialization of peramivir within the Territory and is responsible for all related costs, including sales and promotion. We exercise sole decision-making authority with regard to the development and commercialization of peramivir outside of the Territory and are responsible for all associated costs.</w:t>
      </w:r>
    </w:p>
    <w:p>
      <w:pPr>
        <w:spacing w:after="0" w:line="188"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Under the terms of the SUL Agreement, we are responsible for fulfilling all post-marketing approval commitments in connection with the FDA’s approval of the NDA, and upon fulfillment will transfer ownership of and financial responsibility for the NDA to SUL. Pursuant to rights to sell ALPIVAB in the EU, we were responsible for regulatory filings and interactions with the European Medicines Agency. In accordance with the SUL Agreement, we and SUL formed a joint steering committee, composed of an equal number of representatives from each party, to oversee, review and coordinate the conduct and progress of the commercialization of peramivir in the Territory and any additional development. The parties have entered into the formal dispute resolution process under the SUL Agreement to resolve decisions related to the collaboration. We and SUL are engaged in a formal dispute resolution process, which has now entered arbitration proceedings. The dispute involves many items under the SUL Agreement including, but not limited to, the EMA approval milestone, which we maintain is due under the contract as well as appropriately commercializing peramivir in the Territory. Arbitration proceedings, like other legal proceedings, are inherently uncertain. As a result, we cannot assure you that we will prevail in the arbitration.</w:t>
      </w:r>
    </w:p>
    <w:p>
      <w:pPr>
        <w:spacing w:after="0" w:line="182"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Under the terms of the SUL Agreement, we received an upfront payment of $33.7 million, and have achieved all development milestones under the contract totaling $12.0 million. We are also entitled under the SUL Agreement to receive tiered royalties at a percentage rate beginning in the mid-teens contingent upon meeting minimum thresholds of net sales, as well as a low-thirties percentage of the gross profit from government stockpiling purchases made outside the U.S. Specifically, we receive tiered royalties at a percentage rate in the mid-teens to low-forties on net sales in the U.S. during a Contract Year (defined as July 1 - June 30) and tiered royalties at a percentage rate in the mid-teens to mid-twenties on net sales in the Territory, other than in the U.S., during a Calendar Year, each subject to certain downward adjustments for circumstance or events impacting the overall market opportunity. SUL’s royalty payment obligations commence on the date of the SUL Agreement and expire, on a country-by-country basis, upon the later of (i) the expiration of legal exclusivity in such country and (ii) ten years from the date of the SUL Agreement (the “Royalty Term”). We developed RAPIVAB under a license from UAB and will owe sublicense payments to them on any future milestone payments and/or royalties received by us from SUL.</w:t>
      </w:r>
    </w:p>
    <w:p>
      <w:pPr>
        <w:spacing w:after="0" w:line="167"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The term of the SUL Agreement shall continue on a country-by-country basis until the expiration of the last-to-expire Royalty Term in any such country in the Territory. Either party may terminate the SUL Agreement in its entirety if the other party breaches a payment obligation, otherwise materially breaches the SUL Agreement, subject to applicable cure periods, or if the other party suffers an insolvency event. We may also terminate the SUL Agreement if SUL or any of its affiliates seek to challenge the validity of our patents. Termination does not affect a party’s rights which have accrued prior thereto, but there are no stated payments in connection with termination other than payments of obligations previously accrued. For all terminations exercised by us, the SUL Agreement provides for the termination of any sublicenses granted by SUL to third parties, and in the case of termination by us for cause, the ceasing of SUL’s activities with respect to RAPIVAB, the discontinued use of all of our intellectual property and the termination of licenses and rights previously granted to SUL. If requested by us, SUL shall also promptly sell to us all licensed product it then holds in stock, otherwise, SUL may continue to sell such licensed product for designated periods.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i w:val="1"/>
          <w:iCs w:val="1"/>
          <w:u w:val="single" w:color="auto"/>
          <w:color w:val="auto"/>
        </w:rPr>
        <w:t>Shionogi &amp; Co., Ltd. (“Shionogi”)</w:t>
      </w:r>
      <w:r>
        <w:rPr>
          <w:rFonts w:ascii="Arial" w:cs="Arial" w:eastAsia="Arial" w:hAnsi="Arial"/>
          <w:sz w:val="16"/>
          <w:szCs w:val="16"/>
          <w:i w:val="1"/>
          <w:iCs w:val="1"/>
          <w:color w:val="auto"/>
        </w:rPr>
        <w:t xml:space="preserve">. </w:t>
      </w:r>
      <w:r>
        <w:rPr>
          <w:rFonts w:ascii="Arial" w:cs="Arial" w:eastAsia="Arial" w:hAnsi="Arial"/>
          <w:sz w:val="16"/>
          <w:szCs w:val="16"/>
          <w:color w:val="auto"/>
        </w:rPr>
        <w:t>On February 28, 2007, we entered into a License, Development and Commercialization Agreement (as amended,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supplemented or otherwise modified, the “Shionogi Agreement”), an exclusive license agreement with Shionogi to develop and commercialize peramivir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 for the treatment of seasonal and potentially life-threatening human influenza. In October 2008, we and Shionogi amended the Shionogi Agreement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expand the territory covered by the agreement to include Taiwan. Under the terms of the Shionogi Agreement, Shionogi obtained rights to injectable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formulations of peramivir in Japan in exchange for a $14.0 million upfront payment. The license provided for development milestone payments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$21.0 million), which have all been paid, and for commercial milestone payments (up to $95.0 million) in addition to double-digit (between 10% and 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royalty payments on product sales of peramivir.</w:t>
      </w:r>
    </w:p>
    <w:p>
      <w:pPr>
        <w:spacing w:after="0" w:line="211"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In December 2017, we, on behalf of Royalty Sub (defined below), instituted arbitration proceedings against Shionogi in order to resolve a dispute with Shionogi under the Shionogi Agreement regarding the achievement of sales milestones and escalating royalties. In the event that we prevail in the arbitration, any amounts realized in the arbitration or in respect of the milestone payments and escalating royalties that are the subject of the arbitration would be for the benefit of Royalty Sub and be used by Royalty Sub to service its obligations under the non-recourse PhaRMA Notes (defined below), except for any amounts realized by us in respect of royalties relating to sales to Japanese governmental entities, which amounts would be retained by us. The costs associated with the arbitration proceedings are expected to be paid out of the assets of Royalty Sub in accordance with the terms of the indenture and servicing agreement relating to the PhaRMA Notes, except to the extent such costs are recovered in connection with any arbitration award in favor of us and Royalty Sub if we prevail in the arbitration proceedings. Arbitration proceedings, like other legal proceedings, are inherently uncertain. As a result, we cannot assure you that we will prevail in the arbitration. As any arbitration award in favor of us would accrue primarily to the benefit of Royalty Sub and the holders of the PhaRMA Notes, and because the costs associated with the arbitration proceedings are expected to come out of the assets of Royalty Sub if not recovered as part of any arbitration award in favor of us and Royalty Sub, we do not currently anticipate that these arbitration proceedings will have a material adverse impact on us.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right="20" w:firstLine="486"/>
        <w:spacing w:after="0" w:line="255" w:lineRule="auto"/>
        <w:rPr>
          <w:sz w:val="20"/>
          <w:szCs w:val="20"/>
          <w:color w:val="auto"/>
        </w:rPr>
      </w:pPr>
      <w:r>
        <w:rPr>
          <w:rFonts w:ascii="Arial" w:cs="Arial" w:eastAsia="Arial" w:hAnsi="Arial"/>
          <w:sz w:val="18"/>
          <w:szCs w:val="18"/>
          <w:color w:val="auto"/>
        </w:rPr>
        <w:t>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in the event of 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spacing w:after="0" w:line="193"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i w:val="1"/>
          <w:iCs w:val="1"/>
          <w:u w:val="single" w:color="auto"/>
          <w:color w:val="auto"/>
        </w:rPr>
        <w:t>Shionogi Royalty Monetization and Non-Recourse Notes Payable</w:t>
      </w:r>
      <w:r>
        <w:rPr>
          <w:rFonts w:ascii="Arial" w:cs="Arial" w:eastAsia="Arial" w:hAnsi="Arial"/>
          <w:sz w:val="17"/>
          <w:szCs w:val="17"/>
          <w:color w:val="auto"/>
        </w:rPr>
        <w:t>. On March 9, 2011, we completed a $30.0 million financing transaction to monetize</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future royalty and milestone payments under the Shionogi Agreement, pursuant to which JPR Royalty Sub LLC (“Royalty Sub”) a wholly-owned subsidiary of BioCryst, issued the PhaRMA Notes discussed below. We received net proceeds of $22.7 million from this transaction.</w:t>
      </w:r>
    </w:p>
    <w:p>
      <w:pPr>
        <w:spacing w:after="0" w:line="166"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As part of the transaction, we entered into a purchase and sale agreement dated as of March 9, 2011 with Royalty Sub, whereby we transferred to Royalty Sub, among other things, (i) its rights to receive commercial royalty and milestone payments from Shionogi arising under the Shionogi Agreement, and (ii) the right to receive payments under a Japanese yen/US dollar foreign currency hedge arrangement (as further described below, the “Currency Hedge Agreement”) put into place by us in connection with the transaction. Royalty payments will be paid by Shionogi in Japanese yen and milestone payments will be paid in U.S. dollars. Our collaboration with Shionogi was not impacted by this transaction.</w:t>
      </w:r>
    </w:p>
    <w:p>
      <w:pPr>
        <w:spacing w:after="0" w:line="173"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March 9, 2011, Royalty Sub completed a private placement to institutional investors of $30.0 million in aggregate principal amount of its PhaRMA Senior Secured 14.0% Notes due 2020 (the “PhaRMA Notes”). The PhaRMA Notes were issued by Royalty Sub under an Indenture, dated as of March 9, 2011 (the “Indenture”), by and between Royalty Sub and U.S. Bank National Association, as Trustee. Principal and interest on the PhaRMA Notes issued are payable from, and are secured by, the rights to royalty and milestone payments under the Shionogi Agreement transferred by us to Royalty Sub and payments, if any, made to Royalty Sub under the Currency Hedge Agreement. The PhaRMA Notes bear interest at 14.0% per annum, payable annually in arrears on September 1st of each year (the “Payment Date”). We remain entitled to receive any royalties and milestone payments related to sales of peramivir by Shionogi following repayment by Royalty Sub of the PhaRMA Notes.</w:t>
      </w:r>
    </w:p>
    <w:p>
      <w:pPr>
        <w:spacing w:after="0" w:line="17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our pledge of its equity interests in Royalty Sub in support of the PhaRMA Notes. We may, but are not obligated to, make capital contributions to a capital account that may be used to redeem, or on up to one occasion pay any interest shortfall on, the PhaRMA Notes.</w:t>
      </w:r>
    </w:p>
    <w:p>
      <w:pPr>
        <w:spacing w:after="0" w:line="18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September 2014, Royalty Sub was unable to pay the full amount of interest payable in September 2013 by the next succeeding Payment Date for the PhaRMA Notes, which was September 1, 2014. This inability constituted an event of default under the terms of the Indenture. Accordingly, we have classified the PhaRMA Notes and related accrued interest as current liabilities on our balance sheet. As a result of the event of default under the PhaRMA Notes, the holders of the PhaRMA Notes may pursue acceleration of the PhaRMA Notes, may foreclose on the collateral securing the PhaRMA Notes and the equity interest in Royalty Sub and exercise other remedies available to them under the Indenture in respect of the PhaRMA Notes. In such event, we may not realize the benefit of future royalty payments that might otherwise accrue to us following repayment of the PhaRMA Notes and we might otherwise be adversely affected. Due to the non-recourse nature of the PhaRMA Notes, in the event of any potential acceleration or foreclosure, we believe the primary impact to us would be the loss of future royalty payments from Shionogi and legal costs associated with retiring the PhaRMA Notes. In addition, we may incur costs associated with liquidating the related Currency Hedge Agreement, which would no longer be required in the event of foreclosure or if the PhaRMA Notes cease to be outstanding. As the PhaRMA Notes are the obligation of Royalty Sub, we do not currently expect the event of default on the PhaRMA Notes to have a significant impact on our future results of operations or cash flows. As of December 31, 2018, the PhaRMA Notes remain in default.</w:t>
      </w:r>
    </w:p>
    <w:p>
      <w:pPr>
        <w:spacing w:after="0" w:line="18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 The PhaRMA Notes are redeemable at the option of Royalty Sub at any time at a redemption price equal to 100% of the outstanding principal balance of the PhaRMA Notes being redeemed, plus accrued and unpaid interest through the redemption date on the PhaRMA Notes being redeemed.</w:t>
      </w:r>
    </w:p>
    <w:p>
      <w:pPr>
        <w:spacing w:after="0" w:line="188"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i w:val="1"/>
          <w:iCs w:val="1"/>
          <w:u w:val="single" w:color="auto"/>
          <w:color w:val="auto"/>
        </w:rPr>
        <w:t>Foreign Currency Hedge</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issuance by Royalty Sub of the PhaRMA Notes, we entered into a Currency Hedge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hedge certain risks associated with changes in the value of the Japanese yen relative to the U.S. dollar. Under the Currency Hedge Agreement, we have the right to purchase dollars and sell yen at a rate of 100 yen per dollar for which we may be required to pay a premium in each year from 2019 through 2020. A payment of $2.0 million will be required if, on May 18 of the relevant year, the U.S. dollar is worth 100 yen or less, as determined in accordance with the Currency Hedge Agreement.</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2" w:name="page13"/>
    <w:bookmarkEnd w:id="12"/>
    <w:p>
      <w:pPr>
        <w:ind w:right="20" w:firstLine="486"/>
        <w:spacing w:after="0" w:line="290" w:lineRule="auto"/>
        <w:rPr>
          <w:sz w:val="20"/>
          <w:szCs w:val="20"/>
          <w:color w:val="auto"/>
        </w:rPr>
      </w:pPr>
      <w:r>
        <w:rPr>
          <w:rFonts w:ascii="Arial" w:cs="Arial" w:eastAsia="Arial" w:hAnsi="Arial"/>
          <w:sz w:val="16"/>
          <w:szCs w:val="16"/>
          <w:color w:val="auto"/>
        </w:rPr>
        <w:t>The Currency Hedge Agreement does not qualify for hedge accounting treatment; therefore, mark-to-market adjustments are recognized in our Consolidated Statements of Comprehensive Loss. Cumulative mark-to-market adjustments resulted in losses of $1.0 million, $1.8 million and $1.7 million for the twelve months ended December 30, 2018, 2017, and 2016, respectively. In addition, realized currency exchange gains of $1.0 million, $1.0 million and $0.8 million were recognized in 2018, 2017 and 2016, respectively, related to the exercise of a U.S. dollar/Japanese yen currency option under our foreign currency hedge. We are also required to post collateral in connection with the mark-to-market adjustments based on defined thresholds. As of December 31, 2018, no collateral was posted under the Currency Hedge Agreement. We will not be required at any time to post collateral exceeding the maximum premium payments remaining payable under the Currency Hedge Agreement. The maximum amount of hedge collateral we would be required to post is $3.9 million. We are required to maintain a foreign currency hedge at 100 yen per dollar under the agreements governing the PhaRMA Notes.</w:t>
      </w:r>
    </w:p>
    <w:p>
      <w:pPr>
        <w:spacing w:after="0" w:line="16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i w:val="1"/>
          <w:iCs w:val="1"/>
          <w:u w:val="single" w:color="auto"/>
          <w:color w:val="auto"/>
        </w:rPr>
        <w:t>Green Cross</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2006, we entered into an agreement with Green Cross to develop and commercialize peramivir in Korea. Under the terms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Green Cross is responsible for all development, regulatory, and commercialization costs in Korea. We received a one-time license fee of $250,000. The license provides that we will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in the event of an uncured material breach. In the event of termination, all rights, data, materials, products and other information would be transferred to us.</w:t>
      </w:r>
    </w:p>
    <w:p>
      <w:pPr>
        <w:spacing w:after="0" w:line="193" w:lineRule="exact"/>
        <w:rPr>
          <w:sz w:val="20"/>
          <w:szCs w:val="20"/>
          <w:color w:val="auto"/>
        </w:rPr>
      </w:pPr>
    </w:p>
    <w:p>
      <w:pPr>
        <w:ind w:right="160" w:firstLine="486"/>
        <w:spacing w:after="0" w:line="236" w:lineRule="auto"/>
        <w:rPr>
          <w:sz w:val="20"/>
          <w:szCs w:val="20"/>
          <w:color w:val="auto"/>
        </w:rPr>
      </w:pPr>
      <w:r>
        <w:rPr>
          <w:rFonts w:ascii="Arial" w:cs="Arial" w:eastAsia="Arial" w:hAnsi="Arial"/>
          <w:sz w:val="17"/>
          <w:szCs w:val="17"/>
          <w:color w:val="auto"/>
        </w:rPr>
        <w:t>In August 2010, we announced that Green Cross had received marketing and manufacturing approval from the Korean Food &amp; Drug Administration for i.v. peramivir, under the commercial name PERAMIFLU</w:t>
      </w:r>
      <w:r>
        <w:rPr>
          <w:rFonts w:ascii="Arial" w:cs="Arial" w:eastAsia="Arial" w:hAnsi="Arial"/>
          <w:sz w:val="28"/>
          <w:szCs w:val="28"/>
          <w:color w:val="auto"/>
          <w:vertAlign w:val="superscript"/>
        </w:rPr>
        <w:t>®</w:t>
      </w:r>
      <w:r>
        <w:rPr>
          <w:rFonts w:ascii="Arial" w:cs="Arial" w:eastAsia="Arial" w:hAnsi="Arial"/>
          <w:sz w:val="17"/>
          <w:szCs w:val="17"/>
          <w:color w:val="auto"/>
        </w:rPr>
        <w:t>. PERAMIFLU is intended to treat patients with influenza A &amp; B viruses, including pandemic H1N1 and avian influenza. Green Cross received the indication of single dose administration of 300 mg i.v. peramivir.</w:t>
      </w:r>
    </w:p>
    <w:p>
      <w:pPr>
        <w:spacing w:after="0" w:line="20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i w:val="1"/>
          <w:iCs w:val="1"/>
          <w:u w:val="single" w:color="auto"/>
          <w:color w:val="auto"/>
        </w:rPr>
        <w:t>Other Peramivir Collaborations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to our collaborations with Shionogi and Green Cross, in March 2011 we entered into an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Neopharm Scientific Limited, granting certain commercial and distribution rights for peramivir in Israel.</w:t>
      </w:r>
    </w:p>
    <w:p>
      <w:pPr>
        <w:spacing w:after="0" w:line="170" w:lineRule="exact"/>
        <w:rPr>
          <w:sz w:val="20"/>
          <w:szCs w:val="20"/>
          <w:color w:val="auto"/>
        </w:rPr>
      </w:pPr>
    </w:p>
    <w:p>
      <w:pPr>
        <w:ind w:right="180" w:firstLine="486"/>
        <w:spacing w:after="0" w:line="297" w:lineRule="auto"/>
        <w:rPr>
          <w:sz w:val="20"/>
          <w:szCs w:val="20"/>
          <w:color w:val="auto"/>
        </w:rPr>
      </w:pPr>
      <w:r>
        <w:rPr>
          <w:rFonts w:ascii="Arial" w:cs="Arial" w:eastAsia="Arial" w:hAnsi="Arial"/>
          <w:sz w:val="16"/>
          <w:szCs w:val="16"/>
          <w:i w:val="1"/>
          <w:iCs w:val="1"/>
          <w:u w:val="single" w:color="auto"/>
          <w:color w:val="auto"/>
        </w:rPr>
        <w:t>Mundipharma</w:t>
      </w:r>
      <w:r>
        <w:rPr>
          <w:rFonts w:ascii="Arial" w:cs="Arial" w:eastAsia="Arial" w:hAnsi="Arial"/>
          <w:sz w:val="16"/>
          <w:szCs w:val="16"/>
          <w:i w:val="1"/>
          <w:iCs w:val="1"/>
          <w:color w:val="auto"/>
        </w:rPr>
        <w:t xml:space="preserve">. </w:t>
      </w:r>
      <w:r>
        <w:rPr>
          <w:rFonts w:ascii="Arial" w:cs="Arial" w:eastAsia="Arial" w:hAnsi="Arial"/>
          <w:sz w:val="16"/>
          <w:szCs w:val="16"/>
          <w:color w:val="auto"/>
        </w:rPr>
        <w:t>In February 2006, we entered into an exclusive, royalty bearing right and license agreement with Mundipharma for the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commercialization of Mundesine, a PNP inhibitor, for use in oncology (the “Original Agreement”). Under the terms of the Original Agreement, Mundipharma obtained rights to Mundesine in markets across Europe, Asia, and Australasia in exchange for a $10.0 million up-front payment. In addition, Mundipharma contributed $10.0 million of the documented out-of-pocket development costs incurred by us in respect of the current and planned trials as of the effective date of the agreement, and Mundipharma would conduct additional clinical trials at their own cost up to a maximum of $15.0 million.</w:t>
      </w:r>
    </w:p>
    <w:p>
      <w:pPr>
        <w:spacing w:after="0" w:line="158"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On November 11, 2011, we entered into the Amended and Restated Agreement with Mundipharma (the “Amended and Restated Agreement”). Under the terms of this Amended and Restated Agreement, Mundipharma obtained worldwide rights to Mundesine in the field of oncology. Mundipharma will control the development and commercialization of Mundesine and assume all future development and commercialization costs. The Amended and Restated Agreement provides for the possibility of future event payments totaling $15.0 million for achieving specified regulatory events for certain indications. In addition, the Amended and Restated Agreement provides that we will receive tiered royalties ranging from mid- to high-single digit percentages of net product sales in each country where Mundesine is sold by Mundipharma. These royalties are subject to downward adjustments based on the then-existing patent coverage and/or the availability of generic compounds in each country. Generally, all payments under the Amended and Restated Agreement are nonrefundable and non-creditable, but they are subject to audit. We licensed forodesine and other PNP inhibitors from AECOM/IRL and will owe sublicense payments to AECOM/IRL on all milestone payments and royalties received by us from Mundipharma.</w:t>
      </w:r>
    </w:p>
    <w:p>
      <w:pPr>
        <w:spacing w:after="0" w:line="167"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auto"/>
        </w:rPr>
        <w:t>Mundipharma will also have a right of exclusive negotiations with us for a limited period of time if they initiate negotiations for a specified backup PNP inhibitor. Otherwise, they will be able to participate in the same negotiations process we enter into with another company for the backup PNP inhibitor. The Amended and Restated Agreement will continue for the commercial life of the licensed products, but may be terminated by either party following an uncured material breach by the other party or in the event the pre-existing third party license with AECOM/IRL expires. It may be terminated by Mundipharma upon 60 days written notice without cause or under certain other conditions as specified in the Amended and Restated Agreement. If Mundipharma terminates the Amended and Restated Agreement, Mundipharma would no longer have any rights in Mundesine and the rights would revert back to us; provided, however, that in the event the we determine to subsequently use the data developed under the Amended and Restated Agreement for development and commercialization of Mundesine in the field of oncology, then we would have to pay Mundipharma 150% of the cost of such data for such use.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20" w:firstLine="486"/>
        <w:spacing w:after="0" w:line="270" w:lineRule="auto"/>
        <w:rPr>
          <w:sz w:val="20"/>
          <w:szCs w:val="20"/>
          <w:color w:val="auto"/>
        </w:rPr>
      </w:pPr>
      <w:r>
        <w:rPr>
          <w:rFonts w:ascii="Arial" w:cs="Arial" w:eastAsia="Arial" w:hAnsi="Arial"/>
          <w:sz w:val="17"/>
          <w:szCs w:val="17"/>
          <w:i w:val="1"/>
          <w:iCs w:val="1"/>
          <w:u w:val="single" w:color="auto"/>
          <w:color w:val="auto"/>
        </w:rPr>
        <w:t>Albert Einstein College of Medicine of Yeshiva University and Industrial Research, Ltd. (“AECOM” and “IRL”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In June 2000, we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licensed a series of potent inhibitors of PNP from AECOM and IRL, (collectively, the “Licensors”). The lead product candidate from this collaboration is forodesine. We have obtained worldwide exclusive rights to develop and ultimately distribute it, or any other, product candidates that might arise from research on these inhibitors. We have the option to expand our license agreement with the Licensors to include other inventions in the field made by the investigators or employees of the Licensors. We agreed to use commercially reasonable efforts to develop these drugs. In addition, we have agreed to pay certain milestone payments for each licensed product (which range in the aggregate from $1.4 million to almost $4.0 million per indication) for future development of these inhibitors, single digit royalties on net sales of any resulting product made by us, and to share approximately one quarter of future payments received from other third-party partners, if any. In addition, we have agreed to pay annual license fees, which can range from $150,000 to $500,000, that are creditable against actual royalties and other payments due to the Licensors. This agreement may be terminated by us at any time by giving 60 days advance notice or in the event of material uncured breach by the Licensors.</w:t>
      </w:r>
    </w:p>
    <w:p>
      <w:pPr>
        <w:spacing w:after="0" w:line="17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In May 2010, we amended the license agreement through which we obtained worldwide exclusive rights to develop and ultimately distribute any product candidates that might arise from research on a series of PNP inhibitors, including forodesine. Under the terms of the amendment, the Licensors agreed to accept a reduction of one-half in the percentage of future payments received from third-party sub licensees of the licensed PNP inhibitors that must be paid to the Licensors. This reduction does not apply to (i) any milestone payments we may receive in the future under our license agreement with Mundipharma and (ii) royalties received from its sub licensees in connection with the sale of licensed products, for which the original payment rate will remain in effect. The rate of royalty payments to the Licensors based on net sales of any resulting product made by us remains unchanged. At our sole option and subject to certain agreed upon conditions, any future non-royalty payments due to be paid by us to the Licensors under the license agreement may be made either in cash, in shares of our common stock, or in a combination of cash and shares.</w:t>
      </w:r>
    </w:p>
    <w:p>
      <w:pPr>
        <w:spacing w:after="0" w:line="179"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On November 17, 2011, we further amended our agreements with the Licensors whereby the Licensors agreed to accept a reduction of one-half in the percentage of Net Proceeds (as defined in the license agreement) received by us under our Amended and Restated Agreement with Mundipharma that will be paid to AECOM/IRL.</w:t>
      </w:r>
    </w:p>
    <w:p>
      <w:pPr>
        <w:spacing w:after="0" w:line="18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On June 19, 2012, we further amended our agreements with the Licensors whereby the parties clarified the definition of the field with respect to PNP inhibition and the Licensors agreed to grant an exclusive worldwide license of galidesivir to us for any antiviral use.</w:t>
      </w:r>
    </w:p>
    <w:p>
      <w:pPr>
        <w:spacing w:after="0" w:line="17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i w:val="1"/>
          <w:iCs w:val="1"/>
          <w:u w:val="single" w:color="auto"/>
          <w:color w:val="auto"/>
        </w:rPr>
        <w:t>The University of Alabama at Birmingham (“UAB”)</w:t>
      </w:r>
      <w:r>
        <w:rPr>
          <w:rFonts w:ascii="Arial" w:cs="Arial" w:eastAsia="Arial" w:hAnsi="Arial"/>
          <w:sz w:val="16"/>
          <w:szCs w:val="16"/>
          <w:i w:val="1"/>
          <w:iCs w:val="1"/>
          <w:color w:val="auto"/>
        </w:rPr>
        <w:t xml:space="preserve">. </w:t>
      </w:r>
      <w:r>
        <w:rPr>
          <w:rFonts w:ascii="Arial" w:cs="Arial" w:eastAsia="Arial" w:hAnsi="Arial"/>
          <w:sz w:val="16"/>
          <w:szCs w:val="16"/>
          <w:color w:val="auto"/>
        </w:rPr>
        <w:t>We currently have agreements with UAB for influenza neuraminidase and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inhibitors. Under the terms of these agreements, UAB performed specific research for us in return for research payments and license fees. UAB has granted us certain rights to any discoveries in these areas resulting from research developed by UAB or jointly developed with us. We have agreed to pay single digit royalties on sales of any resulting product and to share in future payments received from other third-party partners. We have completed the research under the UAB agreements. These two agreements have initial 25-year terms, are automatically renewable for five-year terms throughout the life of the last patent and are terminable by us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us and UAB on these agreements, but when we license this technology, such as in the case of the Shionogi and Green Cross agreements, or commercialize products related to these programs, we will owe sublicense fees or royalties on amounts it receives.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229"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i w:val="1"/>
          <w:iCs w:val="1"/>
          <w:u w:val="single" w:color="auto"/>
          <w:color w:val="auto"/>
        </w:rPr>
        <w:t>National Institute of Allergy and Infectious Diseases (“NIAID/HHS”)</w:t>
      </w:r>
      <w:r>
        <w:rPr>
          <w:rFonts w:ascii="Arial" w:cs="Arial" w:eastAsia="Arial" w:hAnsi="Arial"/>
          <w:sz w:val="17"/>
          <w:szCs w:val="17"/>
          <w:i w:val="1"/>
          <w:iCs w:val="1"/>
          <w:color w:val="auto"/>
        </w:rPr>
        <w:t xml:space="preserve">. </w:t>
      </w:r>
      <w:r>
        <w:rPr>
          <w:rFonts w:ascii="Arial" w:cs="Arial" w:eastAsia="Arial" w:hAnsi="Arial"/>
          <w:sz w:val="17"/>
          <w:szCs w:val="17"/>
          <w:color w:val="auto"/>
        </w:rPr>
        <w:t>In September 2013, NIAID/HHS contracted with us for the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galidesivir as a treatment for Marburg, and subsequently, Yellow Fever and Ebola virus. NIAID/HHS, part of the National Institutes of Health, made an initial award of $5.0 million to us. All options under this contract have been awarded and the total contract value is $43.0 million. The goals of this contract, including amendments, are to file IND applications for i.v. and i.m. galidesivir for the treatment of Marburg virus disease and other hemorrhagic fever viruses, to study galidesivir as a treatment for Yellow Fever and Ebola virus disease and to conduct a Phase 1 human clinical trial.</w:t>
      </w:r>
    </w:p>
    <w:p>
      <w:pPr>
        <w:spacing w:after="0" w:line="173"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i w:val="1"/>
          <w:iCs w:val="1"/>
          <w:u w:val="single" w:color="auto"/>
          <w:color w:val="auto"/>
        </w:rPr>
        <w:t>U.S. Department of Health and Human Services (“BARDA/HHS”)</w:t>
      </w:r>
      <w:r>
        <w:rPr>
          <w:rFonts w:ascii="Arial" w:cs="Arial" w:eastAsia="Arial" w:hAnsi="Arial"/>
          <w:sz w:val="18"/>
          <w:szCs w:val="18"/>
          <w:i w:val="1"/>
          <w:iCs w:val="1"/>
          <w:color w:val="auto"/>
        </w:rPr>
        <w:t xml:space="preserve">. </w:t>
      </w:r>
      <w:r>
        <w:rPr>
          <w:rFonts w:ascii="Arial" w:cs="Arial" w:eastAsia="Arial" w:hAnsi="Arial"/>
          <w:sz w:val="18"/>
          <w:szCs w:val="18"/>
          <w:color w:val="auto"/>
        </w:rPr>
        <w:t>On March 31, 2015, we announced that BARDA/HHS awarded us a contract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continued development of galidesivir as a potential treatment for diseases caused by RNA pathogens, including filoviruses. This BARDA/HHS contract has a potential value of $39.1 million if all contract options are exercised. As of December 31, 2018, a total of $20.6 million has been awarded under exercised options within this contract.</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contracts with NIAID/HHS and BARDA/HHS are cost-plus-fixed-fee contracts. That is, we are entitled to receive reimbursement for all costs incurred in accordance with the contracts provisions that are related to the development of peramivir and galidesivir plus a fixed fee, or profit. NIAID/HHS and BARDA/HHS will make periodic assessments of progress and the continuation of the contract is based on our performance, the timeliness and quality of deliverables, and other factors. The government has rights under certain contract clauses to terminate these contracts. These contracts are also terminable by the government at any time for breach or without cause.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w:t>
      </w:r>
    </w:p>
    <w:p>
      <w:pPr>
        <w:spacing w:after="0" w:line="19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spacing w:after="0" w:line="16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of December 31, 2018, we have been issued approximately 17 U.S. patents that expire between 2019 and 2035 and that relate to our HAE program compounds, neuraminidase inhibitor compounds, BSAV compounds and PNP compounds. We have licensed a number of compounds protected by certain composition of matter patents from AECOM and IRL, plus additional manufacturing patents, totaling 7 additional U.S. patents that expire between 2020 and 2029. Additionally, we have approximately 13 Patent Cooperation Treaty or U.S. patent applications pending related to HAE program compounds, neuraminidase inhibitor compounds, BSAV compounds, PNP compounds, FOP program compounds, and other rare disease program compounds.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method of use patents. The enforceability of these patents varies from jurisdiction to jurisdiction and may not be allowed or enforceable in some territories where we may seek approval. We may not have the funds to continue patent prosecution or to defend all of our existing patents in our current patent estate and may selectively abandon patents or patent families worldwide or in certain territories.</w:t>
      </w:r>
    </w:p>
    <w:p>
      <w:pPr>
        <w:spacing w:after="0" w:line="183"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40" w:firstLine="486"/>
        <w:spacing w:after="0" w:line="271" w:lineRule="auto"/>
        <w:rPr>
          <w:sz w:val="20"/>
          <w:szCs w:val="20"/>
          <w:color w:val="auto"/>
        </w:rPr>
      </w:pPr>
      <w:r>
        <w:rPr>
          <w:rFonts w:ascii="Arial" w:cs="Arial" w:eastAsia="Arial" w:hAnsi="Arial"/>
          <w:sz w:val="17"/>
          <w:szCs w:val="17"/>
          <w:color w:val="auto"/>
        </w:rPr>
        <w:t>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 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w:t>
      </w:r>
    </w:p>
    <w:p>
      <w:pPr>
        <w:spacing w:after="0" w:line="179"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i w:val="1"/>
          <w:iCs w:val="1"/>
          <w:u w:val="single" w:color="auto"/>
          <w:color w:val="auto"/>
        </w:rPr>
        <w:t>Antivirals</w:t>
      </w:r>
      <w:r>
        <w:rPr>
          <w:rFonts w:ascii="Arial" w:cs="Arial" w:eastAsia="Arial" w:hAnsi="Arial"/>
          <w:sz w:val="16"/>
          <w:szCs w:val="16"/>
          <w:i w:val="1"/>
          <w:iCs w:val="1"/>
          <w:color w:val="auto"/>
        </w:rPr>
        <w:t xml:space="preserve">: </w:t>
      </w:r>
      <w:r>
        <w:rPr>
          <w:rFonts w:ascii="Arial" w:cs="Arial" w:eastAsia="Arial" w:hAnsi="Arial"/>
          <w:sz w:val="16"/>
          <w:szCs w:val="16"/>
          <w:color w:val="auto"/>
        </w:rPr>
        <w:t>The pharmaceutical market for products that prevent or treat influenza is very competitive. Key competitive factors for RAPIVAB</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injection) include, among others, efficacy, ease of use, safety, price and cost-effectiveness, storage and handling requirements and reimbursement. A number of neuraminidase inhibitors are currently available in the U.S. and/or other counties, including Japan, for the prevention or treatment of influenza,</w:t>
      </w:r>
    </w:p>
    <w:p>
      <w:pPr>
        <w:spacing w:after="0" w:line="207" w:lineRule="auto"/>
        <w:rPr>
          <w:sz w:val="20"/>
          <w:szCs w:val="20"/>
          <w:color w:val="auto"/>
        </w:rPr>
      </w:pPr>
      <w:r>
        <w:rPr>
          <w:rFonts w:ascii="Arial" w:cs="Arial" w:eastAsia="Arial" w:hAnsi="Arial"/>
          <w:sz w:val="16"/>
          <w:szCs w:val="16"/>
          <w:color w:val="auto"/>
        </w:rPr>
        <w:t>including seasonal flu vaccines and F. Hoffmann-La Roche Ltd.’s (“Roche”) TAMIFLU</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(oseltamivir), generic oseltamivir, GlaxoSmithKline plc’s (“GSK”)</w:t>
      </w:r>
    </w:p>
    <w:p>
      <w:pPr>
        <w:spacing w:after="0" w:line="191" w:lineRule="auto"/>
        <w:rPr>
          <w:sz w:val="20"/>
          <w:szCs w:val="20"/>
          <w:color w:val="auto"/>
        </w:rPr>
      </w:pPr>
      <w:r>
        <w:rPr>
          <w:rFonts w:ascii="Arial" w:cs="Arial" w:eastAsia="Arial" w:hAnsi="Arial"/>
          <w:sz w:val="17"/>
          <w:szCs w:val="17"/>
          <w:color w:val="auto"/>
        </w:rPr>
        <w:t>RELENZA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Daiichi Sankyo Co., Ltd.’s INAVIR</w:t>
      </w:r>
      <w:r>
        <w:rPr>
          <w:rFonts w:ascii="Arial" w:cs="Arial" w:eastAsia="Arial" w:hAnsi="Arial"/>
          <w:sz w:val="28"/>
          <w:szCs w:val="28"/>
          <w:color w:val="auto"/>
          <w:vertAlign w:val="superscript"/>
        </w:rPr>
        <w:t>®</w:t>
      </w:r>
      <w:r>
        <w:rPr>
          <w:rFonts w:ascii="Arial" w:cs="Arial" w:eastAsia="Arial" w:hAnsi="Arial"/>
          <w:sz w:val="17"/>
          <w:szCs w:val="17"/>
          <w:color w:val="auto"/>
        </w:rPr>
        <w:t>. In addition, FUJIFILM Corporation’s favipiravir, a polymerase inhibitor, is approved in Japan.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Roche’s neuraminidase inhibitor is also approved for prophylaxis of influenza.</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5" w:name="page16"/>
    <w:bookmarkEnd w:id="15"/>
    <w:p>
      <w:pPr>
        <w:ind w:right="200" w:firstLine="486"/>
        <w:spacing w:after="0" w:line="297" w:lineRule="auto"/>
        <w:rPr>
          <w:sz w:val="20"/>
          <w:szCs w:val="20"/>
          <w:color w:val="auto"/>
        </w:rPr>
      </w:pPr>
      <w:r>
        <w:rPr>
          <w:rFonts w:ascii="Arial" w:cs="Arial" w:eastAsia="Arial" w:hAnsi="Arial"/>
          <w:sz w:val="16"/>
          <w:szCs w:val="16"/>
          <w:color w:val="auto"/>
        </w:rPr>
        <w:t>In addition to the companies with approved neuraminidase inhibitors, there are a number of other companies that are developing potential new influenza therapies. In early 2018, Shionogi announced the approval in Japan of Xofluza, an oral treatment for influenza. Xofluza is a polymerase acidic endonuclease inhibitor and received FDA approval in October 2018 as a single-dose treatment for uncomplicated flu in patients ages 12 and older. 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spacing w:after="0" w:line="158"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Galidesivir is a product candidate in our BSAV research program and is currently being developed under contracts with NIAID/HHS and BARDA/HHS. The objective of our BSAV program is to develop galidesivir as a broad-spectrum therapeutic for viruses that pose a threat to national health and security. The U.S. Government is investing in a number of programs intended to address gaps in its medical countermeasure plan. Currently, there are five investigational therapeutics under a compassionate use/expanded access framework that can be available in an outbreak setting to treat Ebola virus disease.</w:t>
      </w:r>
    </w:p>
    <w:p>
      <w:pPr>
        <w:spacing w:after="0" w:line="15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i w:val="1"/>
          <w:iCs w:val="1"/>
          <w:u w:val="single" w:color="auto"/>
          <w:color w:val="auto"/>
        </w:rPr>
        <w:t>HAE</w:t>
      </w:r>
      <w:r>
        <w:rPr>
          <w:rFonts w:ascii="Arial" w:cs="Arial" w:eastAsia="Arial" w:hAnsi="Arial"/>
          <w:sz w:val="17"/>
          <w:szCs w:val="17"/>
          <w:i w:val="1"/>
          <w:iCs w:val="1"/>
          <w:color w:val="auto"/>
        </w:rPr>
        <w:t xml:space="preserve">: </w:t>
      </w:r>
      <w:r>
        <w:rPr>
          <w:rFonts w:ascii="Arial" w:cs="Arial" w:eastAsia="Arial" w:hAnsi="Arial"/>
          <w:sz w:val="17"/>
          <w:szCs w:val="17"/>
          <w:color w:val="auto"/>
        </w:rPr>
        <w:t>HAE is an autosomal dominant disease characterized by painful, unpredictable, recurrent attacks of inflammation affecting the hands, feet, face,</w:t>
      </w:r>
      <w:r>
        <w:rPr>
          <w:rFonts w:ascii="Arial" w:cs="Arial" w:eastAsia="Arial" w:hAnsi="Arial"/>
          <w:sz w:val="17"/>
          <w:szCs w:val="17"/>
          <w:i w:val="1"/>
          <w:iCs w:val="1"/>
          <w:color w:val="auto"/>
        </w:rPr>
        <w:t xml:space="preserve"> </w:t>
      </w:r>
      <w:r>
        <w:rPr>
          <w:rFonts w:ascii="Arial" w:cs="Arial" w:eastAsia="Arial" w:hAnsi="Arial"/>
          <w:sz w:val="17"/>
          <w:szCs w:val="17"/>
          <w:color w:val="auto"/>
        </w:rPr>
        <w:t>abdomen, urogenital tract, and the larynx. The inflammation can be disfiguring, debilitating, or in the case of laryngeal attacks, life-threatening. Prevalence for HAE is uncertain but is estimated to be approximately 1 case per 50,000 persons without known differences among ethnic groups and is caused by deficient (Type I) or dysfunctional (Type II) levels of C1-Inhibitor (“C1-INH”), a naturally occurring molecule that is known to inhibit kallikrein, bradykinin, and other serine proteases in the blood. If left untreated, HAE can result in a mortality rate as high as 40% primarily due to upper airway obstruction. There are a number of licensed therapies for HAE, including the following:</w:t>
      </w:r>
    </w:p>
    <w:p>
      <w:pPr>
        <w:spacing w:after="0" w:line="182" w:lineRule="exact"/>
        <w:rPr>
          <w:sz w:val="20"/>
          <w:szCs w:val="20"/>
          <w:color w:val="auto"/>
        </w:rPr>
      </w:pPr>
    </w:p>
    <w:p>
      <w:pPr>
        <w:jc w:val="both"/>
        <w:ind w:left="1260" w:right="200" w:hanging="334"/>
        <w:spacing w:after="0" w:line="214" w:lineRule="auto"/>
        <w:tabs>
          <w:tab w:leader="none" w:pos="12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C1-INH therapy is available as an acute therapy (Berinert</w:t>
      </w:r>
      <w:r>
        <w:rPr>
          <w:rFonts w:ascii="Arial" w:cs="Arial" w:eastAsia="Arial" w:hAnsi="Arial"/>
          <w:sz w:val="30"/>
          <w:szCs w:val="30"/>
          <w:color w:val="auto"/>
          <w:vertAlign w:val="superscript"/>
        </w:rPr>
        <w:t>®</w:t>
      </w:r>
      <w:r>
        <w:rPr>
          <w:rFonts w:ascii="Arial" w:cs="Arial" w:eastAsia="Arial" w:hAnsi="Arial"/>
          <w:sz w:val="18"/>
          <w:szCs w:val="18"/>
          <w:color w:val="auto"/>
        </w:rPr>
        <w:t>) and as a prophylactic therapy (Haegarda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Cinryze</w:t>
      </w:r>
      <w:r>
        <w:rPr>
          <w:rFonts w:ascii="Arial" w:cs="Arial" w:eastAsia="Arial" w:hAnsi="Arial"/>
          <w:sz w:val="30"/>
          <w:szCs w:val="30"/>
          <w:color w:val="auto"/>
          <w:vertAlign w:val="superscript"/>
        </w:rPr>
        <w:t>®</w:t>
      </w:r>
      <w:r>
        <w:rPr>
          <w:rFonts w:ascii="Arial" w:cs="Arial" w:eastAsia="Arial" w:hAnsi="Arial"/>
          <w:sz w:val="18"/>
          <w:szCs w:val="18"/>
          <w:color w:val="auto"/>
        </w:rPr>
        <w:t>). These therapies are available subcutaneously and intravenously and work by replacing the missing or malfunctioning C1-INH protein in patients. Recominant C1-INH (Ruconest</w:t>
      </w:r>
      <w:r>
        <w:rPr>
          <w:rFonts w:ascii="Arial" w:cs="Arial" w:eastAsia="Arial" w:hAnsi="Arial"/>
          <w:sz w:val="30"/>
          <w:szCs w:val="30"/>
          <w:color w:val="auto"/>
          <w:vertAlign w:val="superscript"/>
        </w:rPr>
        <w:t>®</w:t>
      </w:r>
      <w:r>
        <w:rPr>
          <w:rFonts w:ascii="Arial" w:cs="Arial" w:eastAsia="Arial" w:hAnsi="Arial"/>
          <w:sz w:val="18"/>
          <w:szCs w:val="18"/>
          <w:color w:val="auto"/>
        </w:rPr>
        <w:t>) is also available as an acute therapy.</w:t>
      </w:r>
    </w:p>
    <w:p>
      <w:pPr>
        <w:spacing w:after="0" w:line="84" w:lineRule="exact"/>
        <w:rPr>
          <w:rFonts w:ascii="Arial" w:cs="Arial" w:eastAsia="Arial" w:hAnsi="Arial"/>
          <w:sz w:val="36"/>
          <w:szCs w:val="36"/>
          <w:color w:val="auto"/>
          <w:vertAlign w:val="superscript"/>
        </w:rPr>
      </w:pPr>
    </w:p>
    <w:p>
      <w:pPr>
        <w:ind w:left="1260" w:right="160" w:hanging="334"/>
        <w:spacing w:after="0" w:line="231" w:lineRule="auto"/>
        <w:tabs>
          <w:tab w:leader="none" w:pos="1260" w:val="left"/>
        </w:tabs>
        <w:numPr>
          <w:ilvl w:val="0"/>
          <w:numId w:val="4"/>
        </w:numPr>
        <w:rPr>
          <w:rFonts w:ascii="Arial" w:cs="Arial" w:eastAsia="Arial" w:hAnsi="Arial"/>
          <w:sz w:val="31"/>
          <w:szCs w:val="31"/>
          <w:color w:val="auto"/>
          <w:vertAlign w:val="superscript"/>
        </w:rPr>
      </w:pPr>
      <w:r>
        <w:rPr>
          <w:rFonts w:ascii="Arial" w:cs="Arial" w:eastAsia="Arial" w:hAnsi="Arial"/>
          <w:sz w:val="16"/>
          <w:szCs w:val="16"/>
          <w:color w:val="auto"/>
        </w:rPr>
        <w:t xml:space="preserve">Kallikrein Inhibition </w:t>
      </w:r>
      <w:r>
        <w:rPr>
          <w:rFonts w:ascii="Arial" w:cs="Arial" w:eastAsia="Arial" w:hAnsi="Arial"/>
          <w:sz w:val="16"/>
          <w:szCs w:val="16"/>
          <w:b w:val="1"/>
          <w:bCs w:val="1"/>
          <w:color w:val="auto"/>
        </w:rPr>
        <w:t>-</w:t>
      </w:r>
      <w:r>
        <w:rPr>
          <w:rFonts w:ascii="Arial" w:cs="Arial" w:eastAsia="Arial" w:hAnsi="Arial"/>
          <w:sz w:val="16"/>
          <w:szCs w:val="16"/>
          <w:color w:val="auto"/>
        </w:rPr>
        <w:t xml:space="preserve"> Kalbitor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(ecallantide) is a specific recombinant plasma kallikrein inhibitor that halts the production of bradykinin and can be dosed subcutaneously by healthcare providers to treat acute HAE attacks. Takhzyro™ (lanadelumab-flyo) is a monoclonal antibody approved for prophylaxis of HAE attacks that inhibits plasma kallikrein and can be self-administered as a subcutaneous injection.</w:t>
      </w:r>
    </w:p>
    <w:p>
      <w:pPr>
        <w:spacing w:after="0" w:line="207" w:lineRule="exact"/>
        <w:rPr>
          <w:rFonts w:ascii="Arial" w:cs="Arial" w:eastAsia="Arial" w:hAnsi="Arial"/>
          <w:sz w:val="31"/>
          <w:szCs w:val="31"/>
          <w:color w:val="auto"/>
          <w:vertAlign w:val="superscript"/>
        </w:rPr>
      </w:pPr>
    </w:p>
    <w:p>
      <w:pPr>
        <w:ind w:left="1260" w:right="220" w:hanging="334"/>
        <w:spacing w:after="0" w:line="186" w:lineRule="auto"/>
        <w:tabs>
          <w:tab w:leader="none" w:pos="12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 xml:space="preserve">Bradykinin receptor antagonist </w:t>
      </w:r>
      <w:r>
        <w:rPr>
          <w:rFonts w:ascii="Arial" w:cs="Arial" w:eastAsia="Arial" w:hAnsi="Arial"/>
          <w:sz w:val="18"/>
          <w:szCs w:val="18"/>
          <w:b w:val="1"/>
          <w:bCs w:val="1"/>
          <w:color w:val="auto"/>
        </w:rPr>
        <w:t>-</w:t>
      </w:r>
      <w:r>
        <w:rPr>
          <w:rFonts w:ascii="Arial" w:cs="Arial" w:eastAsia="Arial" w:hAnsi="Arial"/>
          <w:sz w:val="18"/>
          <w:szCs w:val="18"/>
          <w:color w:val="auto"/>
        </w:rPr>
        <w:t xml:space="preserve"> Firazyr</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(icatibant) is a competitive antagonist of the bradykinin B2 receptor. Firazyr is approved for the treatment of acute attacks and is administered by subcutaneous administration.</w:t>
      </w:r>
    </w:p>
    <w:p>
      <w:pPr>
        <w:spacing w:after="0" w:line="203" w:lineRule="exact"/>
        <w:rPr>
          <w:rFonts w:ascii="Arial" w:cs="Arial" w:eastAsia="Arial" w:hAnsi="Arial"/>
          <w:sz w:val="36"/>
          <w:szCs w:val="36"/>
          <w:color w:val="auto"/>
          <w:vertAlign w:val="superscript"/>
        </w:rPr>
      </w:pPr>
    </w:p>
    <w:p>
      <w:pPr>
        <w:ind w:left="1260" w:right="40" w:hanging="334"/>
        <w:spacing w:after="0" w:line="259"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medications - Prophylactic administration of synthetic attenuated androgens (generically available as danazol or stanozolol) has been utilized to reduce the frequency or severity of attacks. However, long-term use of danazol or stanozolol may result in virilization and arterial hypertension. Six-month liver function tests, annual lipid profiles, and biennial hepatic ultrasound are recommended because these medications increase production of C1-INH in the liver.</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to BCX7353, there are a number of other HAE therapies in clinical development. KalVista Pharmaceuticals, Inc. has announced plans to conduct a Phase 2 clinical trial in 2019 of an oral kallikrein inhibitor (KVD900) as a treatment for acute attacks. KalVista (KVD824) and Attune Pharmaceuticals, Inc. (ATN-249) also have oral kallikrein inhibitors that may be developed as treatments for HAE. CSL has an anti-factor XII Mab (CSL312) in Phase 2 clinical development in HAE patients.</w:t>
      </w:r>
    </w:p>
    <w:p>
      <w:pPr>
        <w:spacing w:after="0" w:line="187"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i w:val="1"/>
          <w:iCs w:val="1"/>
          <w:u w:val="single" w:color="auto"/>
          <w:color w:val="auto"/>
        </w:rPr>
        <w:t>FOP</w:t>
      </w:r>
      <w:r>
        <w:rPr>
          <w:rFonts w:ascii="Arial" w:cs="Arial" w:eastAsia="Arial" w:hAnsi="Arial"/>
          <w:sz w:val="16"/>
          <w:szCs w:val="16"/>
          <w:i w:val="1"/>
          <w:iCs w:val="1"/>
          <w:color w:val="auto"/>
        </w:rPr>
        <w:t xml:space="preserve">: </w:t>
      </w:r>
      <w:r>
        <w:rPr>
          <w:rFonts w:ascii="Arial" w:cs="Arial" w:eastAsia="Arial" w:hAnsi="Arial"/>
          <w:sz w:val="16"/>
          <w:szCs w:val="16"/>
          <w:color w:val="auto"/>
        </w:rPr>
        <w:t>FOP is a rare, severely disabling condition characterized by the irregular formation of bone outside the normal skeleton, also known as</w:t>
      </w:r>
      <w:r>
        <w:rPr>
          <w:rFonts w:ascii="Arial" w:cs="Arial" w:eastAsia="Arial" w:hAnsi="Arial"/>
          <w:sz w:val="16"/>
          <w:szCs w:val="16"/>
          <w:i w:val="1"/>
          <w:iCs w:val="1"/>
          <w:color w:val="auto"/>
        </w:rPr>
        <w:t xml:space="preserve"> </w:t>
      </w:r>
      <w:r>
        <w:rPr>
          <w:rFonts w:ascii="Arial" w:cs="Arial" w:eastAsia="Arial" w:hAnsi="Arial"/>
          <w:sz w:val="16"/>
          <w:szCs w:val="16"/>
          <w:color w:val="auto"/>
        </w:rPr>
        <w:t>heterotopic ossification (“HO”). HO can occur in muscles, tendons and soft tissue. FOP patients progressively become bound by this irregular ossification, with restricted movement and fused joints, resulting in deformities and premature mortality. There are currently no approved treatments for FOP.</w:t>
      </w:r>
    </w:p>
    <w:p>
      <w:pPr>
        <w:spacing w:after="0" w:line="14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Other FOP therapies in clinical development include Clementia Pharmaceuticals Inc.’s palovarotene, an oral, retinoic acid gamma receptor agonist. Clementia has announced plans to file a NDA for palovarotene in the second half of 2019. Regeneron Pharmaceuticals, Inc. is conducting a Phase 2 clinical trial in FOP with REGN2477, an i.v. anti-activin antibody. Blueprint Medicines Corporation has initiated a Phase 1 trial of BLU-782, an oral ALK-2 kinase inhibitor in early 2019.</w:t>
      </w:r>
    </w:p>
    <w:p>
      <w:pPr>
        <w:spacing w:after="0" w:line="18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i w:val="1"/>
          <w:iCs w:val="1"/>
          <w:u w:val="single" w:color="auto"/>
          <w:color w:val="auto"/>
        </w:rPr>
        <w:t>Complement-mediated diseases</w:t>
      </w:r>
      <w:r>
        <w:rPr>
          <w:rFonts w:ascii="Arial" w:cs="Arial" w:eastAsia="Arial" w:hAnsi="Arial"/>
          <w:sz w:val="17"/>
          <w:szCs w:val="17"/>
          <w:color w:val="auto"/>
        </w:rPr>
        <w:t>: Several rare diseases are known to be mediated by defects of the complement system, including paroxysmal nocturnal</w:t>
      </w:r>
      <w:r>
        <w:rPr>
          <w:rFonts w:ascii="Arial" w:cs="Arial" w:eastAsia="Arial" w:hAnsi="Arial"/>
          <w:sz w:val="17"/>
          <w:szCs w:val="17"/>
          <w:i w:val="1"/>
          <w:iCs w:val="1"/>
          <w:color w:val="auto"/>
        </w:rPr>
        <w:t xml:space="preserve"> </w:t>
      </w:r>
      <w:r>
        <w:rPr>
          <w:rFonts w:ascii="Arial" w:cs="Arial" w:eastAsia="Arial" w:hAnsi="Arial"/>
          <w:sz w:val="17"/>
          <w:szCs w:val="17"/>
          <w:color w:val="auto"/>
        </w:rPr>
        <w:t>hemoglobinuria (“PNH”), atypical hemolytic uremic syndrome (“aHUS”), and myasthenia gravis. Alexion Pharmaceuticals, Inc.’s Soliris® (eculizumab) is a C5 inhibitor that is commercialized for all three of these indications and had global sales of over $3.5 billion in 2018. Alexion has announced plans to file an NDA for Soliris in neuromyelitis optica (NMO) in 2019. Alexion also recently received FDA approval for Ultomiris™ (ravulizumab), a longer-acting C5 inhibitor, as a treatment for PNH in late 2018. Several other companies have active clinical development programs in complement-mediated diseases. Achillion Pharmaceuticals, Inc.’s oral factor D inhibitor, ACH4471, is in Phase 2 clinical trials for PNH and for C3 glomerulonephritis (“C3G”) and also is conducting Phase 1 trials on two follow-on compounds, ACH5228 and ACH5548. Novartis AG is conducting a Phase 2 trial of an oral factor B inhibitor, LPN023, in PNH. Apellis Pharmaceuticals, Inc. is conducting Phase 1B/2 trials of APL-2, a subcutaneously delivered peptide that inhibits C3, in PNH, cold agglutin disease, warm antibody autoimmune hemolytic anemia, and complement-dependent nephropathies. Ra Pharmaceuticals, Inc. is developing zilucoplan, a novel, injectable C5 inhibitor that is currently in Phase 2 trials for PNH and myasthenia gravis. Omeros Corporation is developing OMS721, an antibody that inhibits the lectin pathway, that is in Phase 2 or Phase 3 trials in conditions including IgA nephropathy, aHUS and lupus nephritis. ChemoCentryx, Inc. is developing avacopan, an oral C5aR inhibitor that is in Phase 3 for ANCA-associated vasculitis and Phase 2 for C3G. Several other companies including Regeneron, Chugai Pharmaceutical Co., Ltd., Alnylam Pharmaceuticals Inc., and Akari Therapeutics, Plc are developing C5 inhibitors for PNH and potentially other diseases of the complement system.</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60" w:firstLine="486"/>
        <w:spacing w:after="0" w:line="259" w:lineRule="auto"/>
        <w:rPr>
          <w:sz w:val="20"/>
          <w:szCs w:val="20"/>
          <w:color w:val="auto"/>
        </w:rPr>
      </w:pPr>
      <w:r>
        <w:rPr>
          <w:rFonts w:ascii="Arial" w:cs="Arial" w:eastAsia="Arial" w:hAnsi="Arial"/>
          <w:sz w:val="18"/>
          <w:szCs w:val="18"/>
          <w:color w:val="auto"/>
        </w:rPr>
        <w:t>In order to compete successfully in these and other therapeutic areas, we must develop proprietary positions in patented drugs for therapeutic markets that have not been satisfactorily addressed by conventional research strategies and, in the process, expand our expertise in structure-based drug design. Our product candidates, even if successfully tested and developed, may not be adopted by physicians over other products and may not offer economically feasible alternatives to other therapies.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initiated our research and development activities in 1986. We have assembled a scientific research staff with expertise in a broad base of advanced research technologies including protein biochemistry, X-ray crystallography, chemistry and pharmacology. Our research facilities, located in Birmingham, Alabama, include protein biochemistry and organic synthesis laboratories, testing facilities, X-ray crystallography, computer and graphics equipment and facilities to make product candidates on a small scale for early stage clinical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229"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conduct our business in an ethical, fair, honest and lawful manner. We act responsibly, respectfully and with integrity in our relationships with patients, health care professionals, collaborators, governments, regulatory entities, stockholders, suppliers and vendors.</w:t>
      </w:r>
    </w:p>
    <w:p>
      <w:pPr>
        <w:spacing w:after="0" w:line="170"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In order to ensure compliance with applicable laws and regulations, our Chief Financial Officer, Chief Legal Officer and Vice President of Human Resources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U.S. Foreign Corrupt Practices Act of 1977; NASDAQ listing requirements; the regulations of the Financial Industry Regulatory Authority; the Securities and Exchange Commission (“SEC”); the FDA; and the United States Department of Health and Human Services. Our standard operating procedures are designed to provide a framework for corporate governance in accordance with ethical standards and best legal practices.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FDA regulates the pharmaceutical and biotechnology industries in the U.S., and our product candidates are subject to extensive and rigorous domestic government regulations prior to commercialization. The FDA regulates, among other things, the development, testing, manufacture, safety, efficacy, record-keeping, labeling, storage, approval, advertising, promotion, sale and distribution of pharmaceutical products. In foreign countries, our products are also subject to extensive regulation by foreign governments. These government regulations will be a significant factor in the production and marketing of any pharmaceutical products that we develop. Failure to comply with applicable FDA and other regulatory requirements at any stage during the regulatory process may subject us to sanctions, including:</w:t>
      </w:r>
    </w:p>
    <w:p>
      <w:pPr>
        <w:spacing w:after="0" w:line="193" w:lineRule="exact"/>
        <w:rPr>
          <w:sz w:val="20"/>
          <w:szCs w:val="20"/>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penalties;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refusal of the FDA to review pending market approval applications or supplements to approval applications;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withdrawals of previously approved marketing applications;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225" w:lineRule="exact"/>
        <w:rPr>
          <w:sz w:val="20"/>
          <w:szCs w:val="20"/>
          <w:color w:val="auto"/>
        </w:rPr>
      </w:pPr>
    </w:p>
    <w:p>
      <w:pPr>
        <w:jc w:val="both"/>
        <w:ind w:right="100" w:firstLine="492"/>
        <w:spacing w:after="0" w:line="264" w:lineRule="auto"/>
        <w:rPr>
          <w:sz w:val="20"/>
          <w:szCs w:val="20"/>
          <w:color w:val="auto"/>
        </w:rPr>
      </w:pPr>
      <w:r>
        <w:rPr>
          <w:rFonts w:ascii="Arial" w:cs="Arial" w:eastAsia="Arial" w:hAnsi="Arial"/>
          <w:sz w:val="18"/>
          <w:szCs w:val="18"/>
          <w:color w:val="auto"/>
        </w:rPr>
        <w:t>The regulatory review and approval process is lengthy, expensive and uncertain. Before obtaining regulatory approvals for the commercial sale of any products, we or our partners must demonstrate that our product candidates are safe and effective for use in humans. The approval process takes many years, substantial expenses may be incurred and significant time may be devoted to clinical development.</w:t>
      </w:r>
    </w:p>
    <w:p>
      <w:pPr>
        <w:spacing w:after="0" w:line="181" w:lineRule="exact"/>
        <w:rPr>
          <w:sz w:val="20"/>
          <w:szCs w:val="20"/>
          <w:color w:val="auto"/>
        </w:rPr>
      </w:pPr>
    </w:p>
    <w:p>
      <w:pPr>
        <w:ind w:right="320" w:firstLine="492"/>
        <w:spacing w:after="0" w:line="264" w:lineRule="auto"/>
        <w:rPr>
          <w:sz w:val="20"/>
          <w:szCs w:val="20"/>
          <w:color w:val="auto"/>
        </w:rPr>
      </w:pPr>
      <w:r>
        <w:rPr>
          <w:rFonts w:ascii="Arial" w:cs="Arial" w:eastAsia="Arial" w:hAnsi="Arial"/>
          <w:sz w:val="18"/>
          <w:szCs w:val="18"/>
          <w:color w:val="auto"/>
        </w:rPr>
        <w:t>Before testing potential product candidates in humans, we carry out laboratory and animal studies to determine safety and biological activity. After completing preclinical trials, we must file an IND, including a proposal to begin clinical trials, with the FDA. Thirty days after filing an IND, a Phase 1 human clinical trial can start, unless the FDA places a hold on the trial.</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Clinical trials to support a NDA are typically conducted in three sequential phases, but the phases may overlap.</w:t>
      </w:r>
    </w:p>
    <w:p>
      <w:pPr>
        <w:spacing w:after="0" w:line="225"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color w:val="auto"/>
        </w:rPr>
        <w:t>Phase 1—During Phase 1, the initial introduction of the drug into healthy volunteers, the drug is tested to assess metabolism, pharmacokinetics and pharmacological actions and safety, including side effects associated with increasing doses.</w:t>
      </w:r>
    </w:p>
    <w:p>
      <w:pPr>
        <w:spacing w:after="0" w:line="170"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Phase 2—Phase 2 usually involves trials in a limited patient population to: (1) assess the efficacy of the drug in specific, targeted indications; (2) assess dosage tolerance and optimal dosage; and (3) identify possible adverse effects and safety risks.</w:t>
      </w:r>
    </w:p>
    <w:p>
      <w:pPr>
        <w:spacing w:after="0" w:line="170"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Phase 3 (pivotal)—If a compound is found to be potentially effective and to have an acceptable safety profile in Phase 2 evaluations, Phase 3 clinical trials, also called pivotal studies, major studies or advanced clinical trials, are undertaken to further demonstrate clinical efficacy and to further test for safety within an expanded patient population at geographically dispersed clinical trial sites. In general, the FDA requires that at least two adequate and well-controlled Phase 3 clinical trials be conducted.</w:t>
      </w:r>
    </w:p>
    <w:p>
      <w:pPr>
        <w:spacing w:after="0" w:line="187"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Initiation and completion of the clinical trial phases are dependent on several factors including things that are beyond our control. For example, the clinical trials cannot begin at a particular site until that site receives approval from its Institutional Review Board (“IRB”), which reviews the protocol and related documents. This process can take from several weeks to several months. In addition, clinical trials are dependent on patient enrollment, but the rate at which patients enroll in the study depends on:</w:t>
      </w:r>
    </w:p>
    <w:p>
      <w:pPr>
        <w:spacing w:after="0" w:line="187" w:lineRule="exact"/>
        <w:rPr>
          <w:sz w:val="20"/>
          <w:szCs w:val="20"/>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willingness of investigators to participate in a study;</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of clinical sites to obtain approval from their IRB;</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the required number of eligible subjects to be enrolled in a given trial;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existing or other experimental drugs for the disease we intend to treat;</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willingness of patients to participate;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patients meeting the eligibility criteria.</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Delays in planned patient enrollment may result in increased expense and longer development timelines.</w:t>
      </w:r>
    </w:p>
    <w:p>
      <w:pPr>
        <w:spacing w:after="0" w:line="225"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After successful completion of the required clinical testing, generally an NDA is submitted. Upon receipt of the NDA,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will usually refer NDAs for new molecular entities to an appropriate advisory committee for review and evaluation in regards to providing a recommendation as to whether the application should be approved. The FDA is not bound to follow the recommendation of an advisory committee.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firstLine="486"/>
        <w:spacing w:after="0" w:line="269" w:lineRule="auto"/>
        <w:rPr>
          <w:sz w:val="20"/>
          <w:szCs w:val="20"/>
          <w:color w:val="auto"/>
        </w:rPr>
      </w:pPr>
      <w:r>
        <w:rPr>
          <w:rFonts w:ascii="Arial" w:cs="Arial" w:eastAsia="Arial" w:hAnsi="Arial"/>
          <w:sz w:val="17"/>
          <w:szCs w:val="17"/>
          <w:color w:val="auto"/>
        </w:rPr>
        <w:t>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a “complete response letter.” A complete response letter will state that the FDA cannot approve the NDA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could be subsequently cited. An applicant receiving a complete response letter is permitted to resubmit the NDA addressing the identified deficiencies (in which case a new two or six-month review cycle will begin), or withdraw the NDA. The FDA may consider a failure to take action within one year of a complete response letter to be a request to withdraw, unless the applicant has requested an extension of time in which to resubmit. If the FDA approves an NDA, the marketing of the product will be limited to the particular disease states and conditions of use that are described in the product label.</w:t>
      </w:r>
    </w:p>
    <w:p>
      <w:pPr>
        <w:spacing w:after="0" w:line="183"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and all of our contract manufacturers are also required to comply with the applicable FDA current Good Manufacturing Practice, or cGMP, regulations during clinical development and to ensure that the product can be consistently manufactured to meet the specifications submitted in an NDA. The cGMP regulations include requirements relating to product quality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for distribution into the United States are also subject to inspection by the FDA. Additionally, failure to comply with local regulatory requirements could affect production and availability of product in relevant markets.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229"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As of January 31, 2019, we had approximately 100 employees, of whom approximately 65 were engaged in the research and development function of our operations. Our research and development staff, approximately 30 of whom hold Ph.D. or M.D. degrees, have diversified experience in biochemistry, pharmacology, X-ray crystallography, synthetic organic chemistry, computational chemistry, medicinal chemistry, clinical development and regulatory affairs.</w:t>
      </w:r>
    </w:p>
    <w:p>
      <w:pPr>
        <w:spacing w:after="0" w:line="147"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Our employees are not represented by any collective bargaining agreements, and we have never experienced a work stoppage. Employees are required to execute confidentiality and assignment of intellectual property agreements. We consider our relations with our employees to be satisfactory.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Merger</w:t>
      </w:r>
    </w:p>
    <w:p>
      <w:pPr>
        <w:spacing w:after="0" w:line="22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On January 21, 2018, we entered into an Agreement and Plan of Merger (the “Merger Agreement”) with Idera Pharmaceuticals, Inc., (“Idera”) a Delaware corporation. Following our stockholders’ failure to approve the adoption of the Merger Agreement at our special meeting of stockholders held on July 10, 2018, the Merger Agreement was terminated. Pursuant to the terms of the Merger Agreement, we reimbursed Idera for transaction-related expenses of $6,000 in July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Our website address is www.biocryst.com. We make available, free of charge, at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business conduct, which applies to all our employees as well as the members of our Board of Directors. Any amendment to, or waiver from, our code of business conduct will be posted on our website.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jc w:val="both"/>
        <w:ind w:right="580" w:firstLine="486"/>
        <w:spacing w:after="0" w:line="264" w:lineRule="auto"/>
        <w:rPr>
          <w:sz w:val="20"/>
          <w:szCs w:val="20"/>
          <w:color w:val="auto"/>
        </w:rPr>
      </w:pPr>
      <w:r>
        <w:rPr>
          <w:rFonts w:ascii="Arial" w:cs="Arial" w:eastAsia="Arial" w:hAnsi="Arial"/>
          <w:sz w:val="18"/>
          <w:szCs w:val="18"/>
          <w:color w:val="auto"/>
        </w:rPr>
        <w:t>For information related to our revenues, profits, net loss and total assets, in addition to other financial information, please refer to the Financial Statements and Notes to Financial Statements contained in this Annual Report. Financial information about revenues derived from foreign countries is included in Note 1 to the Financial Statements contained in this Annual Report.</w:t>
      </w:r>
    </w:p>
    <w:p>
      <w:pPr>
        <w:spacing w:after="0" w:line="17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Securities and Exchange Commission, before deciding to buy our common stock.</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Since our inception, we have not achieved sustained profitability. We expect to incur additional losses for the foreseeable future, and our losses could increase as our research and development efforts progress. We expect that such losses will fluctuate from quarter to quarter and losses and fluctuations may be substantial.</w:t>
      </w:r>
    </w:p>
    <w:p>
      <w:pPr>
        <w:spacing w:after="0" w:line="181"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To become profitable, we, or our collaborative partners, must successfully manufacture and develop product candidates, receive regulatory approval, and successfully commercialize and/or enter into profitable agreements with other parties. It could be several years, if ever, before we receive significant revenue from any current or future license agreements or revenues directly from product sales.</w:t>
      </w:r>
    </w:p>
    <w:p>
      <w:pPr>
        <w:spacing w:after="0" w:line="181" w:lineRule="exact"/>
        <w:rPr>
          <w:sz w:val="20"/>
          <w:szCs w:val="20"/>
          <w:color w:val="auto"/>
        </w:rPr>
      </w:pPr>
    </w:p>
    <w:p>
      <w:pPr>
        <w:jc w:val="both"/>
        <w:ind w:right="220" w:firstLine="486"/>
        <w:spacing w:after="0" w:line="286" w:lineRule="auto"/>
        <w:rPr>
          <w:sz w:val="20"/>
          <w:szCs w:val="20"/>
          <w:color w:val="auto"/>
        </w:rPr>
      </w:pPr>
      <w:r>
        <w:rPr>
          <w:rFonts w:ascii="Arial" w:cs="Arial" w:eastAsia="Arial" w:hAnsi="Arial"/>
          <w:sz w:val="17"/>
          <w:szCs w:val="17"/>
          <w:color w:val="auto"/>
        </w:rPr>
        <w:t>Because of the numerous risks and uncertainties associated with developing our product candidates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success depends upon our ability to advance our products through the various stages of development, especially through the clinical trial process.</w:t>
      </w:r>
    </w:p>
    <w:p>
      <w:pPr>
        <w:spacing w:after="0" w:line="260" w:lineRule="exact"/>
        <w:rPr>
          <w:sz w:val="20"/>
          <w:szCs w:val="20"/>
          <w:color w:val="auto"/>
        </w:rPr>
      </w:pPr>
    </w:p>
    <w:p>
      <w:pPr>
        <w:ind w:right="40" w:firstLine="486"/>
        <w:spacing w:after="0" w:line="267" w:lineRule="auto"/>
        <w:rPr>
          <w:sz w:val="20"/>
          <w:szCs w:val="20"/>
          <w:color w:val="auto"/>
        </w:rPr>
      </w:pPr>
      <w:r>
        <w:rPr>
          <w:rFonts w:ascii="Arial" w:cs="Arial" w:eastAsia="Arial" w:hAnsi="Arial"/>
          <w:sz w:val="17"/>
          <w:szCs w:val="17"/>
          <w:color w:val="auto"/>
        </w:rPr>
        <w:t>To receive the regulatory approvals necessary for the sale of our product candidates, we or our partners must demonstrate through preclinical studies and clinical trials that each product candidate is safe and effective. The development process and related regulatory process are complex and uncertain. Because of the cost and duration of clinical trials, we may decide to discontinue development of product candidates that are unlikely to show good results in the clinical trials, unlikely to help advance a product to the point of a meaningful collaboration, or unlikely to have reasonable commercial potential. We may suffer significant setbacks in pivotal pre-clinical studies and clinical trials (e.g. BCX7353, BCX9930, BCX9250, galidesivir), even after earlier clinical trials show promising results. The development of our product candidates, including our clinical trials, may not be adequately designed or executed, which could affect the potential outcome and analysis of study results. Any of our product candidates may produce undesirable side effects in humans. Any of our product candidates, including BCX7353, BCX9930 and BCX9250, may indicate or produce undesirable or inconclusive data in our pre-clinical and clinical studies. The pre-clinical data (including without limitation carcinogenicity, drug-drug interaction studies and toxicity studies) and clinical data from our product candidates, including BCX7353, BCX9930, and BCX9250, could cause us or regulatory authorities to interrupt, delay, modify or halt preclinical or clinical trials of a product candidate or may result in restrictions or warnings that could impact development and the ultimate commercial outcome for a product candidate. Undesirable or inconclusive data or side effects in humans could also result in the U.S. Food and Drug Administration (the “FDA”) or foreign regulatory authorities refusing to approve the product candidate for any targeted indications or require restrictions or warnings that could impact development or the ultimate commercial success for a product candidate. In addition, the FDA or other regulatory agencies may determine that study data from our product candidates necessitates additional studies or study designs which differ from our planned development strategy, and regulatory agencies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may suspend or terminate clinical trials at any time if we or they believe the trial participants face unacceptable health risks. Pre-clinical studies (including without limitation carcinogenicity, drug-drug interaction studies and toxicity studies) and clinical trials for our product candidates, including BCX7353, BCX9930, and BCX9250, and the overall analysis of the balance of safety and efficacy may fail to demonstrate that our product candidates are safe or effective, which could limit or eliminate the expected commercial viability of those product candidates. Regulatory authorities may interrupt, delay or halt clinical trials for a product candidate for any number of reasons.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successfully complete clinical trials is dependent upon many factors, including but not limited to:</w:t>
      </w:r>
    </w:p>
    <w:p>
      <w:pPr>
        <w:spacing w:after="0" w:line="225" w:lineRule="exact"/>
        <w:rPr>
          <w:sz w:val="20"/>
          <w:szCs w:val="20"/>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find suitable clinical sites and investigators to enroll patients;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maintain contact with patients to provide complete data after treatment;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formulation improvements may not work as expected, which could negatively impact commercial demand for our product candidates;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manufacturing or quality control problems could affect the supply of product candidates for our trials; and</w:t>
      </w:r>
    </w:p>
    <w:p>
      <w:pPr>
        <w:spacing w:after="0" w:line="225" w:lineRule="exact"/>
        <w:rPr>
          <w:rFonts w:ascii="Arial" w:cs="Arial" w:eastAsia="Arial" w:hAnsi="Arial"/>
          <w:sz w:val="18"/>
          <w:szCs w:val="18"/>
          <w:color w:val="auto"/>
        </w:rPr>
      </w:pPr>
    </w:p>
    <w:p>
      <w:pPr>
        <w:ind w:left="580" w:right="160" w:hanging="342"/>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changes in our planned development strategy, the regulations or guidelines, or other unexpected conditions or requirements of government agencies.</w:t>
      </w:r>
    </w:p>
    <w:p>
      <w:pPr>
        <w:spacing w:after="0" w:line="170"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Clinical trials are lengthy and expensive. We or our partners incur substantial expense for, and devote significant time to, preclinical testing and clinical trials, yet we cannot be certain that the tests and trials will ever result in the commercial sale of a product. For example, clinical trials require adequate supplies of drug and sufficient patient enrollment. Lack of adequate drug supply or delays in patient enrollment, including for APeX-2, APeX-S, APeX-J and ZENITH-1, can result in increased costs and longer development times. Even if we or our partners successfully complete clinical trials for our product candidates, we or our partners might not file the required regulatory submissions in a timely manner and may not receive regulatory approval for the product candidates.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113" w:gutter="0" w:footer="0" w:header="0"/>
        </w:sectPr>
      </w:pPr>
    </w:p>
    <w:bookmarkStart w:id="20" w:name="page21"/>
    <w:bookmarkEnd w:id="20"/>
    <w:p>
      <w:pPr>
        <w:ind w:left="240"/>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225"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agencies have broad discretion in determining whether or not to grant such designations. We cannot guarantee that we will be able to receive orphan drug status from the FDA or equivalent regulatory designations elsewhere. We also cannot guarantee that we will obtain breakthrough therapy or fast track designation, which may provide certain potential benefits such as more frequent meetings with the FDA to discuss the development plan, intensive guidance on an efficient drug development program, and potential eligibility for rolling review or priority review. Even if we are successful in obtaining any such designation by the FDA or other regulatory agency for our product candidates, such designations may not lead to faster development or regulatory review or approval, and it does not increase the likelihood that our product candidates will receive marketing approval. We may not be able to obtain or maintain such designations for our product candidates, and our competitors may obtain these designations for their product candidates, which could impact our ability to develop and commercialize our product candidates or compete with such competitors, which may adversely impact our business, financial condition or results of operations.</w:t>
      </w:r>
    </w:p>
    <w:p>
      <w:pPr>
        <w:spacing w:after="0" w:line="16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Although we have received Sakigake designation for BCX7353 in Japan, we may not experience a faster development, review or approval process compared to the conventional process.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clinical trials may not adequately show that our product candidates are safe or effective.</w:t>
      </w:r>
    </w:p>
    <w:p>
      <w:pPr>
        <w:spacing w:after="0" w:line="225" w:lineRule="exact"/>
        <w:rPr>
          <w:sz w:val="20"/>
          <w:szCs w:val="20"/>
          <w:color w:val="auto"/>
        </w:rPr>
      </w:pPr>
    </w:p>
    <w:p>
      <w:pPr>
        <w:ind w:right="120" w:firstLine="486"/>
        <w:spacing w:after="0" w:line="276"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our product candidates have adequate safety and efficacy in the patients being treated by achieving pre-determined safety and efficacy endpoints according to the clinical trial protocols. Failure to achieve any of these endpoints in any of our programs, including BCX7353, BCX9930, BCX9250, galidesivir, and our other rare disease product candidates, could result in delays in our trials or require the performance of additional unplanned trials. This could result in delays in the development of our product candidates and could result in significant unexpected costs or the termination of programs.</w:t>
      </w:r>
    </w:p>
    <w:p>
      <w:pPr>
        <w:spacing w:after="0" w:line="173"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580" w:hanging="34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discovery of natural proteins that cause or enable biological reactions necessary for the progression of the disease or disorder, called enzyme targets;</w:t>
      </w:r>
    </w:p>
    <w:p>
      <w:pPr>
        <w:spacing w:after="0" w:line="248" w:lineRule="exact"/>
        <w:rPr>
          <w:rFonts w:ascii="Arial" w:cs="Arial" w:eastAsia="Arial" w:hAnsi="Arial"/>
          <w:sz w:val="16"/>
          <w:szCs w:val="16"/>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and data management;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formulation improvement strategies and methods; and</w:t>
      </w:r>
    </w:p>
    <w:p>
      <w:pPr>
        <w:spacing w:after="0" w:line="225" w:lineRule="exact"/>
        <w:rPr>
          <w:rFonts w:ascii="Arial" w:cs="Arial" w:eastAsia="Arial" w:hAnsi="Arial"/>
          <w:sz w:val="18"/>
          <w:szCs w:val="18"/>
          <w:color w:val="auto"/>
        </w:rPr>
      </w:pPr>
    </w:p>
    <w:p>
      <w:pPr>
        <w:ind w:left="580" w:right="20" w:hanging="34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our drug development efforts would suffer. Similarly, if the contract research organizations that conduct our initial or late-stage clinical trials, conduct our toxicology studies, manufacture our starting materials, drug substance and product candidates or assist with our regulatory function breached their obligations to us or perform their services inconsistent with industry standards and not in accordance with the required regulations, this would delay or prevent both the development of our product candidates and the availability of any potential commercial product.</w:t>
      </w:r>
    </w:p>
    <w:p>
      <w:pPr>
        <w:spacing w:after="0" w:line="193"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are realized, our business, financial condition and results of operations could be materially adversely affected.</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1" w:name="page22"/>
    <w:bookmarkEnd w:id="21"/>
    <w:p>
      <w:pPr>
        <w:ind w:left="260"/>
        <w:spacing w:after="0" w:line="259" w:lineRule="auto"/>
        <w:rPr>
          <w:sz w:val="20"/>
          <w:szCs w:val="20"/>
          <w:color w:val="auto"/>
        </w:rPr>
      </w:pPr>
      <w:r>
        <w:rPr>
          <w:rFonts w:ascii="Arial" w:cs="Arial" w:eastAsia="Arial" w:hAnsi="Arial"/>
          <w:sz w:val="18"/>
          <w:szCs w:val="18"/>
          <w:b w:val="1"/>
          <w:bCs w:val="1"/>
          <w:i w:val="1"/>
          <w:iCs w:val="1"/>
          <w:color w:val="auto"/>
        </w:rPr>
        <w:t>Because we have limited manufacturing experience, we depend on third-party manufacturers to manufacture our product, product candidates and the materials for our product candidates. Often, especially early in the development and commercialization process, we have only one source for manufacturing. If we cannot rely on existing third-party manufacturers, we will be required to incur significant costs and potential delays in finding new third-party manufacturers.</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We have limited manufacturing experience and only a small scale manufacturing facility. We currently rely upon a very limited number of third-party manufacturers to manufacture the materials required for our product, product candidates and most of the preclinical and clinical quantities of our product candidates. We depend on these third-party manufacturers to perform their obligations in a timely manner and in accordance with applicable governmental regulations. Our third-party manufacturers, which may be the only manufacturer we have engaged for a particular product, may encounter difficulties with meeting our requirements, including but not limited to problems involving:</w:t>
      </w:r>
    </w:p>
    <w:p>
      <w:pPr>
        <w:spacing w:after="0" w:line="188" w:lineRule="exact"/>
        <w:rPr>
          <w:sz w:val="20"/>
          <w:szCs w:val="20"/>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potential impurities in our drug substance or products that could affect availability of product for our clinical trials or future commercialization;</w:t>
      </w:r>
    </w:p>
    <w:p>
      <w:pPr>
        <w:spacing w:after="0" w:line="236" w:lineRule="exact"/>
        <w:rPr>
          <w:rFonts w:ascii="Arial" w:cs="Arial" w:eastAsia="Arial" w:hAnsi="Arial"/>
          <w:sz w:val="17"/>
          <w:szCs w:val="17"/>
          <w:color w:val="auto"/>
        </w:rPr>
      </w:pPr>
    </w:p>
    <w:p>
      <w:pPr>
        <w:ind w:left="580" w:hanging="34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 and</w:t>
      </w:r>
    </w:p>
    <w:p>
      <w:pPr>
        <w:spacing w:after="0" w:line="225" w:lineRule="exact"/>
        <w:rPr>
          <w:rFonts w:ascii="Arial" w:cs="Arial" w:eastAsia="Arial" w:hAnsi="Arial"/>
          <w:sz w:val="18"/>
          <w:szCs w:val="18"/>
          <w:color w:val="auto"/>
        </w:rPr>
      </w:pPr>
    </w:p>
    <w:p>
      <w:pPr>
        <w:ind w:left="580" w:right="740" w:hanging="342"/>
        <w:spacing w:after="0" w:line="308"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lack of compliance or cooperation with regulations and specifications or requests set forth by the FDA or other foreign regulatory agencies, particularly associated with peramivir, BCX7353, BCX9930, BCX9250, galidesivir and our early stage compounds.</w:t>
      </w:r>
    </w:p>
    <w:p>
      <w:pPr>
        <w:spacing w:after="0" w:line="14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These contract manufacturers may not be able to manufacture the materials required for our product candidates at a cost or in quantities necessary to make them commercially viable. We also have no control over whether third-party manufacturers breach their agreements with us or whether they may terminate or decline to renew agreements with us. To date, our third-party manufacturers have met our manufacturing requirements, but they may not continue to do so.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similar foreign regulatory agencies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82"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If we are unable to maintain current manufacturing or other contract relationships, or enter into new agreements with additional manufacturers on commercially reasonable terms, or if there is poor manufacturing performance or failure to comply with any regulatory agency on the part of any of our third-party manufacturers, we may not be able to complete development of, seek timely approval of, or market, our product candidates.</w:t>
      </w:r>
    </w:p>
    <w:p>
      <w:pPr>
        <w:spacing w:after="0" w:line="16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raw materials, drug substances, and product candidates are manufactured by a limited group of suppliers, including some at a single facility. If any of these suppliers were unable to produce these items, this could significantly impact our supply of product candidate material for further preclinical testing and clinical trials.</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if any, may be reduced.</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marketing and manufacturing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83" w:lineRule="exact"/>
        <w:rPr>
          <w:sz w:val="20"/>
          <w:szCs w:val="20"/>
          <w:color w:val="auto"/>
        </w:rPr>
      </w:pPr>
    </w:p>
    <w:p>
      <w:pPr>
        <w:ind w:left="580" w:hanging="34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Developments by others may render our product candidates or technologies obsolete or noncompetitive.</w:t>
      </w:r>
    </w:p>
    <w:p>
      <w:pPr>
        <w:spacing w:after="0" w:line="225" w:lineRule="exact"/>
        <w:rPr>
          <w:sz w:val="20"/>
          <w:szCs w:val="20"/>
          <w:color w:val="auto"/>
        </w:rPr>
      </w:pPr>
    </w:p>
    <w:p>
      <w:pPr>
        <w:ind w:right="80" w:firstLine="492"/>
        <w:spacing w:after="0" w:line="266" w:lineRule="auto"/>
        <w:rPr>
          <w:sz w:val="20"/>
          <w:szCs w:val="20"/>
          <w:color w:val="auto"/>
        </w:rPr>
      </w:pPr>
      <w:r>
        <w:rPr>
          <w:rFonts w:ascii="Arial" w:cs="Arial" w:eastAsia="Arial" w:hAnsi="Arial"/>
          <w:sz w:val="16"/>
          <w:szCs w:val="16"/>
          <w:color w:val="auto"/>
        </w:rPr>
        <w:t>We are performing research on or developing products for the treatment of several rare diseases, including HAE, FOP and diseases of the complement system, as well as developing broad spectrum antivirals for use as medical countermeasures. We expect to encounter significant competition for any of the pharmaceutical products we are developing and plan to develop. Companies that complete clinical trials, obtain required funding or government support, obtain required regulatory approvals and commence commercial sales or stockpiling orders of their products before their competitors may achieve a significant competitive advantage. Such is the case with the current neuraminidase inhibitors marketed by GlaxoSmithKline plc and F. Hoffmann-La Roche Ltd. for influenza; CINRYZE</w:t>
      </w:r>
      <w:r>
        <w:rPr>
          <w:rFonts w:ascii="Arial" w:cs="Arial" w:eastAsia="Arial" w:hAnsi="Arial"/>
          <w:sz w:val="26"/>
          <w:szCs w:val="26"/>
          <w:color w:val="auto"/>
          <w:vertAlign w:val="superscript"/>
        </w:rPr>
        <w:t>®</w:t>
      </w:r>
      <w:r>
        <w:rPr>
          <w:rFonts w:ascii="Arial" w:cs="Arial" w:eastAsia="Arial" w:hAnsi="Arial"/>
          <w:sz w:val="16"/>
          <w:szCs w:val="16"/>
          <w:color w:val="auto"/>
        </w:rPr>
        <w:t>, KALBITOR</w:t>
      </w:r>
      <w:r>
        <w:rPr>
          <w:rFonts w:ascii="Arial" w:cs="Arial" w:eastAsia="Arial" w:hAnsi="Arial"/>
          <w:sz w:val="26"/>
          <w:szCs w:val="26"/>
          <w:color w:val="auto"/>
          <w:vertAlign w:val="superscript"/>
        </w:rPr>
        <w:t>®</w:t>
      </w:r>
      <w:r>
        <w:rPr>
          <w:rFonts w:ascii="Arial" w:cs="Arial" w:eastAsia="Arial" w:hAnsi="Arial"/>
          <w:sz w:val="16"/>
          <w:szCs w:val="16"/>
          <w:color w:val="auto"/>
        </w:rPr>
        <w:t>, FIRAZYR</w:t>
      </w:r>
      <w:r>
        <w:rPr>
          <w:rFonts w:ascii="Arial" w:cs="Arial" w:eastAsia="Arial" w:hAnsi="Arial"/>
          <w:sz w:val="26"/>
          <w:szCs w:val="26"/>
          <w:color w:val="auto"/>
          <w:vertAlign w:val="superscript"/>
        </w:rPr>
        <w:t>®</w:t>
      </w:r>
      <w:r>
        <w:rPr>
          <w:rFonts w:ascii="Arial" w:cs="Arial" w:eastAsia="Arial" w:hAnsi="Arial"/>
          <w:sz w:val="16"/>
          <w:szCs w:val="16"/>
          <w:color w:val="auto"/>
        </w:rPr>
        <w:t>, and TAKHZYRO</w:t>
      </w:r>
      <w:r>
        <w:rPr>
          <w:rFonts w:ascii="Arial" w:cs="Arial" w:eastAsia="Arial" w:hAnsi="Arial"/>
          <w:sz w:val="26"/>
          <w:szCs w:val="26"/>
          <w:color w:val="auto"/>
          <w:vertAlign w:val="superscript"/>
        </w:rPr>
        <w:t>™</w:t>
      </w:r>
      <w:r>
        <w:rPr>
          <w:rFonts w:ascii="Arial" w:cs="Arial" w:eastAsia="Arial" w:hAnsi="Arial"/>
          <w:sz w:val="16"/>
          <w:szCs w:val="16"/>
          <w:color w:val="auto"/>
        </w:rPr>
        <w:t>, marketed by Shire plc or its affiliates, including Takeda Pharmaceutical</w:t>
      </w:r>
    </w:p>
    <w:p>
      <w:pPr>
        <w:spacing w:after="0" w:line="2" w:lineRule="exact"/>
        <w:rPr>
          <w:sz w:val="20"/>
          <w:szCs w:val="20"/>
          <w:color w:val="auto"/>
        </w:rPr>
      </w:pPr>
    </w:p>
    <w:p>
      <w:pPr>
        <w:ind w:right="20"/>
        <w:spacing w:after="0" w:line="217" w:lineRule="auto"/>
        <w:rPr>
          <w:sz w:val="20"/>
          <w:szCs w:val="20"/>
          <w:color w:val="auto"/>
        </w:rPr>
      </w:pPr>
      <w:r>
        <w:rPr>
          <w:rFonts w:ascii="Arial" w:cs="Arial" w:eastAsia="Arial" w:hAnsi="Arial"/>
          <w:sz w:val="18"/>
          <w:szCs w:val="18"/>
          <w:color w:val="auto"/>
        </w:rPr>
        <w:t>Company, Ltd. (“Takeda”), for HAE; BERINERT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HAEGARDA</w:t>
      </w:r>
      <w:r>
        <w:rPr>
          <w:rFonts w:ascii="Arial" w:cs="Arial" w:eastAsia="Arial" w:hAnsi="Arial"/>
          <w:sz w:val="30"/>
          <w:szCs w:val="30"/>
          <w:color w:val="auto"/>
          <w:vertAlign w:val="superscript"/>
        </w:rPr>
        <w:t>®</w:t>
      </w:r>
      <w:r>
        <w:rPr>
          <w:rFonts w:ascii="Arial" w:cs="Arial" w:eastAsia="Arial" w:hAnsi="Arial"/>
          <w:sz w:val="18"/>
          <w:szCs w:val="18"/>
          <w:color w:val="auto"/>
        </w:rPr>
        <w:t>, marketed by CSL Limited (“CSL”) for HAE; RUCONEST</w:t>
      </w:r>
      <w:r>
        <w:rPr>
          <w:rFonts w:ascii="Arial" w:cs="Arial" w:eastAsia="Arial" w:hAnsi="Arial"/>
          <w:sz w:val="30"/>
          <w:szCs w:val="30"/>
          <w:color w:val="auto"/>
          <w:vertAlign w:val="superscript"/>
        </w:rPr>
        <w:t>®</w:t>
      </w:r>
      <w:r>
        <w:rPr>
          <w:rFonts w:ascii="Arial" w:cs="Arial" w:eastAsia="Arial" w:hAnsi="Arial"/>
          <w:sz w:val="18"/>
          <w:szCs w:val="18"/>
          <w:color w:val="auto"/>
        </w:rPr>
        <w:t>, marketed by Pharming Healthcare, Inc. (“Pharming”) for HAE; and SOLIRIS® and ULTOMIRIS™ marketed by Alexion Pharmaceuticals, Inc. for PNH, aHUS, and myasthenia gravis.</w:t>
      </w:r>
    </w:p>
    <w:p>
      <w:pPr>
        <w:spacing w:after="0" w:line="203" w:lineRule="exact"/>
        <w:rPr>
          <w:sz w:val="20"/>
          <w:szCs w:val="20"/>
          <w:color w:val="auto"/>
        </w:rPr>
      </w:pPr>
    </w:p>
    <w:p>
      <w:pPr>
        <w:ind w:right="160" w:firstLine="492"/>
        <w:spacing w:after="0" w:line="286" w:lineRule="auto"/>
        <w:rPr>
          <w:sz w:val="20"/>
          <w:szCs w:val="20"/>
          <w:color w:val="auto"/>
        </w:rPr>
      </w:pPr>
      <w:r>
        <w:rPr>
          <w:rFonts w:ascii="Arial" w:cs="Arial" w:eastAsia="Arial" w:hAnsi="Arial"/>
          <w:sz w:val="16"/>
          <w:szCs w:val="16"/>
          <w:color w:val="auto"/>
        </w:rPr>
        <w:t>Further, several pharmaceutical and biotechnology firms have announced efforts in HAE and in other therapeutic areas where we have discovery and development efforts ongoing. KalVista Pharmaceuticals, Inc. has announced plans to conduct a Phase 2 clinical trial in 2019 of an oral kallikrein inhibitor (KVD900) as a treatment for acute attacks. KalVista (KVD824) and Attune Pharmaceuticals, Inc. (ATN-249) also have oral kallikrein inhibitors in Phase 1 clinical trials that may be developed as treatments for HAE. CSL has an anti-factor XII Mab (CSL312) in Phase 2 clinical development in HAE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patients. Currently, there are five investigational therapeutics under a compassionate use/expanded access framework that can be available in an outbreak setting to treat Ebola virus disease. In early 2018, Shionogi announced the approval in Japan of Xofluza, an oral treatment for influenza, which has also received Priority Review designation from the FDA. For FOP, Clementia Pharmaceuticals, Inc.’s oral therapy, palovarotene, is in Phase 2 and 3 trials; Regeneron Pharmaceuticals, Inc.’s injectable REGN2477 is in Phase 2; and Blueprint Medicines Corporation’s BLU-782 is expected to begin phase 1 trials in 2019. There are many additional potential competitors in PNH and other complement-mediated diseases. Achillion Pharmaceuticals Inc., Novartis AG and ChemoCentryx, Inc. all have oral complement inhibitors in Phase 2 or Phase 3 clinical trials. Apellis Pharmaceuticals Inc., Ra Pharmaceuticals, Inc., and Omeros Corporation are also developing novel complement inhibitors that have reached Phase 2 or Phase 3 clinical trials. SOLIRIS is no longer under patent protection and one or more biosimilar versions of that product may be developed. If one or more of our competitors’ products or programs, including potential competitors not listed, are successful, the market for our products may be reduced or eliminated.</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225" w:lineRule="exact"/>
        <w:rPr>
          <w:sz w:val="20"/>
          <w:szCs w:val="20"/>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and marketing experience;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right="240" w:firstLine="486"/>
        <w:spacing w:after="0" w:line="277" w:lineRule="auto"/>
        <w:rPr>
          <w:sz w:val="20"/>
          <w:szCs w:val="20"/>
          <w:color w:val="auto"/>
        </w:rPr>
      </w:pPr>
      <w:r>
        <w:rPr>
          <w:rFonts w:ascii="Arial" w:cs="Arial" w:eastAsia="Arial" w:hAnsi="Arial"/>
          <w:sz w:val="18"/>
          <w:szCs w:val="18"/>
          <w:color w:val="auto"/>
        </w:rPr>
        <w:t>Any of these competitive factors could impede our funding efforts, render technology and product candidates noncompetitive or eliminate or reduce demand for our product candidates.</w:t>
      </w:r>
    </w:p>
    <w:p>
      <w:pPr>
        <w:spacing w:after="0" w:line="170" w:lineRule="exact"/>
        <w:rPr>
          <w:sz w:val="20"/>
          <w:szCs w:val="20"/>
          <w:color w:val="auto"/>
        </w:rPr>
      </w:pPr>
    </w:p>
    <w:p>
      <w:pPr>
        <w:ind w:left="260" w:right="200"/>
        <w:spacing w:after="0" w:line="264" w:lineRule="auto"/>
        <w:rPr>
          <w:sz w:val="20"/>
          <w:szCs w:val="20"/>
          <w:color w:val="auto"/>
        </w:rPr>
      </w:pPr>
      <w:r>
        <w:rPr>
          <w:rFonts w:ascii="Arial" w:cs="Arial" w:eastAsia="Arial" w:hAnsi="Arial"/>
          <w:sz w:val="18"/>
          <w:szCs w:val="18"/>
          <w:b w:val="1"/>
          <w:bCs w:val="1"/>
          <w:i w:val="1"/>
          <w:iCs w:val="1"/>
          <w:color w:val="auto"/>
        </w:rPr>
        <w:t>We face risks related to our government-funded programs; if BARDA/HHS or NIAID/HHS were to eliminate, reduce or delay funding from our contracts, this would have a significant negative impact on the programs associated with such funding and could have a significant negative impact on our revenues and cash flows.</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projections of revenues and incoming cash flows are substantially dependent upon BARDA/HHS and NIAID/HHS reimbursement for the costs related to our galidesivir program. If BARDA/HHS or NIAID/HHS were to eliminate, reduce or delay the funding for these programs or disallow some of our incurred costs, we would have to obtain additional funding for continued development or regulatory registration for these product candidates or significantly reduce or stop the development effort.</w:t>
      </w:r>
    </w:p>
    <w:p>
      <w:pPr>
        <w:spacing w:after="0" w:line="18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In contracting with BARDA/HHS and NIAID/HHS, we are subject to various U.S. Government contract requirements, including general clauses for a cost-reimbursement research and development contract, which may limit our reimbursement or if we are found to be in violation could result in contract termination. If the U.S. Government terminates any of its contracts with us for its convenience, or if we default by failing to perform in accordance with the contract schedule and terms, significant negative impact on our cash flows and operations could result.</w:t>
      </w:r>
    </w:p>
    <w:p>
      <w:pPr>
        <w:spacing w:after="0" w:line="171"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Our government contracts with BARDA/HHS and NIAID/HHS have special contracting requirements, which create additional risks of reduction or loss of funding.</w:t>
      </w:r>
    </w:p>
    <w:p>
      <w:pPr>
        <w:spacing w:after="0" w:line="170"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We have completed work under a contract with BARDA/HHS for the development of our neuraminidase inhibitor, RAPIVAB. We also have entered into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 clauses for a cost-reimbursement research and development contract, which may limit our reimbursement or, if we are found to be in violation, could result in contract termination.</w:t>
      </w:r>
    </w:p>
    <w:p>
      <w:pPr>
        <w:spacing w:after="0" w:line="188" w:lineRule="exact"/>
        <w:rPr>
          <w:sz w:val="20"/>
          <w:szCs w:val="20"/>
          <w:color w:val="auto"/>
        </w:rPr>
      </w:pPr>
    </w:p>
    <w:p>
      <w:pPr>
        <w:ind w:right="20" w:firstLine="492"/>
        <w:spacing w:after="0" w:line="264"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81" w:lineRule="exact"/>
        <w:rPr>
          <w:sz w:val="20"/>
          <w:szCs w:val="20"/>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an in process review where the U.S. Government will review the project and its options under the contract;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government contracts with BARDA/HHS and NIAID/HHS have termination and audit provisions which create additional risks to us.</w:t>
      </w:r>
    </w:p>
    <w:p>
      <w:pPr>
        <w:spacing w:after="0" w:line="23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U.S. Government may terminate its contracts with us either for its convenience or if we default by failing to perform in accordance with the contract schedule and terms. Termination for convenience provisions generally enable us to recover only our costs incurred or committed, and settlement expenses and profit on the work completed prior to termination. Termination does not permit these recoveries under default provisions. In the event of termination or upon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 Further, if the U.S. Government terminates its contracts with us for its convenience, or if we default by failing to perform in accordance with the contract schedule and terms, significant negative impact on our cash flows and operations could result.</w:t>
      </w:r>
    </w:p>
    <w:p>
      <w:pPr>
        <w:spacing w:after="0" w:line="192"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As a U.S. Government contractor, we are required to comply with applicable laws, regulations and standards relating to our accounting practices and are subject to periodic audits and reviews. As part of any such audit or review, the U.S. Government may review the adequacy of, and our compliance with, our internal control systems and policies, including those relating to our purchasing, property, estimating, compensation and management information systems. Audits under the active BARDA/HHS and NIAID/HHS galidesivir contracts may occur at the election of the U.S. Government and have been concluded through fiscal 2015; all subsequent fiscal years are still open and auditable. Based on the results of its audits, the U.S. Government may adjust our contract-related costs and fees, including allocated indirect costs. This adjustment could impact the amount of revenues reported on a historic basis and could impact our cash flows under the contracts prospectively.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termination of our contracts,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464" w:gutter="0" w:footer="0" w:header="0"/>
        </w:sectPr>
      </w:pPr>
    </w:p>
    <w:bookmarkStart w:id="24" w:name="page25"/>
    <w:bookmarkEnd w:id="24"/>
    <w:p>
      <w:pPr>
        <w:ind w:left="260" w:right="100"/>
        <w:spacing w:after="0" w:line="277"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 seek additional remedies.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If we are unable or fail to meet payment obligations, performance milestones relating to the timing of regulatory filings, product supply obligations, post approval commitments for RAPIVAB, or development and commercial diligence obligations; are unable or fail to make milestone payments or material data use payments in accordance with applicable provisions; or fail to pay the minimum annual payments under our respective licenses, our licensors may terminate the applicable license or seek other available remedies. As a result, our development of the respective product candidate or commercialization of the product would cease.</w:t>
      </w:r>
    </w:p>
    <w:p>
      <w:pPr>
        <w:spacing w:after="0" w:line="188" w:lineRule="exact"/>
        <w:rPr>
          <w:sz w:val="20"/>
          <w:szCs w:val="20"/>
          <w:color w:val="auto"/>
        </w:rPr>
      </w:pPr>
    </w:p>
    <w:p>
      <w:pPr>
        <w:ind w:left="260" w:right="1340"/>
        <w:spacing w:after="0" w:line="277"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we may be unable to complete the development and commercialization of our product candidates or continue operations.</w:t>
      </w:r>
    </w:p>
    <w:p>
      <w:pPr>
        <w:spacing w:after="0" w:line="170"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As our programs advance, our costs are likely to increase. Our current and planned discovery activities, pre-clinical and clinical trials, the related development, manufacturing, regulatory approval process requirements, and the additional personnel resources and testing required for supporting the development of our product candidates will consume significant capital resources. Our expenses, revenues and cash utilization rate could vary significantly depending on many factors, including: our ability to raise additional capital; the development progress of our collaborative agreements for our product candidates; the amount of funding we receive from NIAID/HHS and BARDA/HHS for galidesivir or from other new partnerships with third parties for the development of our product candidates, including BCX7353, BCX9930, BCX9250 and our other rare disease product candidates; the commercial success of peramivir achieved by our partners; the amount or profitability of any orders for peramivir or galidesivir by any government agency or other party; the progress and results of our current and proposed clinical trials for our most advanced product candidates, including BCX7353, BCX9930, BCX9250 and our other rare disease product candidates; the progress made in the manufacture of our lead products and the progression of our other programs.</w:t>
      </w:r>
    </w:p>
    <w:p>
      <w:pPr>
        <w:spacing w:after="0" w:line="16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 candidates and we may seek to raise capital at any time. Additional funding, whether through additional sales of securities, additional borrowings, or collaborative arrangements with partners, including governmental agencies in general and from any BARDA/HHS or NIAID/HHS contract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Additional borrowings may subject us to more restrictive covenants than are currently applicable to us under our secured credit facility with MidCap Financial, a Delaware statutory trust (“MidCap”), pursuant to the terms and conditions of that certain Second Amended and Restated Credit and Security Agreement, dated as of February 6, 2019, between the Company, MDCP, LLC (“MDCP”), MidCap, and the lenders thereto (the “Second Amended and Restated Senior Credit Facility”). In addition, collaborative arrangements may require us to transfer certain material rights to such corporate partners. Insufficient funds or lack of an acceptable partnership may require us to delay, scale-back or eliminate certain of our research and development programs.</w:t>
      </w:r>
    </w:p>
    <w:p>
      <w:pPr>
        <w:spacing w:after="0" w:line="16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order to continue future operations and continue our drug development programs, we will be required to raise additional capital. In addition to seeking strategic partnerships, transactions and government funding, we may decide to access the equity or debt markets, incur additional borrowings, or seek other sources to meet liquidity needs. Our ability to raise additional capital may be limited and may greatly depend upon the success of ongoing development related to our current drug development programs, including post approval studies for RAPIVAB, the progress, timeline and ultimate outcome of development programs for our kallikrein inhibitors, such as BCX7353 (including, but not limited to, formulation progress, the timing and outcome of APeX-2, long-term human safety studies, and carcinogenicity, drug-drug interaction, toxicity, or other required studies), the progress of BCX9250 for the treatment of FOP, BCX9930 for diseases of the complement system and other rare disease product candidates. In addition, constriction and volatility in the equity and debt markets may restrict our future flexibility to raise capital when such needs arise. Furthermore, we have exposure to many different industries, financing partners and counterparties, including commercial banks, investment banks and partners (which include investors, licensing partners, and the U.S. Government) which may be unstable or may become unstable in the current economic and political environment. Any such instability may impact these parties’ ability to fulfill contractual obligations to us or they might limit or place burdensome conditions upon future transactions with us. Also, it is possible that suppliers may be negatively impacted. Any such unfavorable outcomes in our current programs or unfavorable economic conditions could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of our product candidates.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We may not be able to continue as a going concern if we do not obtain additional capital.</w:t>
      </w:r>
    </w:p>
    <w:p>
      <w:pPr>
        <w:spacing w:after="0" w:line="225"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2019 expenses will exceed our 2019 revenues. We expect to continue to incur operating losses and negative cash flows until revenues reach a level sufficient to support ongoing operations.</w:t>
      </w:r>
    </w:p>
    <w:p>
      <w:pPr>
        <w:spacing w:after="0" w:line="124" w:lineRule="exact"/>
        <w:rPr>
          <w:sz w:val="20"/>
          <w:szCs w:val="20"/>
          <w:color w:val="auto"/>
        </w:rPr>
      </w:pPr>
    </w:p>
    <w:p>
      <w:pPr>
        <w:ind w:right="180" w:firstLine="486"/>
        <w:spacing w:after="0" w:line="288" w:lineRule="auto"/>
        <w:rPr>
          <w:sz w:val="20"/>
          <w:szCs w:val="20"/>
          <w:color w:val="auto"/>
        </w:rPr>
      </w:pPr>
      <w:r>
        <w:rPr>
          <w:rFonts w:ascii="Arial" w:cs="Arial" w:eastAsia="Arial" w:hAnsi="Arial"/>
          <w:sz w:val="16"/>
          <w:szCs w:val="16"/>
          <w:color w:val="auto"/>
        </w:rPr>
        <w:t>Our liquidity needs will be largely determined by the success of operations in regards to the progression of our product candidates in the future. Our plans to alleviate the doubt regarding our ability to continue as a going concern primarily include our ability to control the timing and spending on our research and development programs and raising additional funds through equity financings. We also may consider other plans to fund operations including:</w:t>
      </w:r>
    </w:p>
    <w:p>
      <w:pPr>
        <w:ind w:right="200" w:firstLine="8"/>
        <w:spacing w:after="0" w:line="253"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securing or increasing U.S. Government funding of our programs, including obtaining procurement contracts; (2) out-licensing rights to certain of our products or product candidates, pursuant to which the we would receive cash milestones; (3) raising additional capital through equity or debt financings or from other sources; (4) obtaining additional product candidate regulatory approvals, which would generate revenue, milestones and cash flow; (5) reducing spending on one or more research and development programs, including by discontinuing development; and/or (6) restructuring operations to change our overhead structure.</w:t>
      </w:r>
    </w:p>
    <w:p>
      <w:pPr>
        <w:spacing w:after="0" w:line="191" w:lineRule="exact"/>
        <w:rPr>
          <w:sz w:val="20"/>
          <w:szCs w:val="20"/>
          <w:color w:val="auto"/>
        </w:rPr>
      </w:pPr>
    </w:p>
    <w:p>
      <w:pPr>
        <w:jc w:val="both"/>
        <w:ind w:right="100" w:firstLine="492"/>
        <w:spacing w:after="0" w:line="264" w:lineRule="auto"/>
        <w:rPr>
          <w:sz w:val="20"/>
          <w:szCs w:val="20"/>
          <w:color w:val="auto"/>
        </w:rPr>
      </w:pPr>
      <w:r>
        <w:rPr>
          <w:rFonts w:ascii="Arial" w:cs="Arial" w:eastAsia="Arial" w:hAnsi="Arial"/>
          <w:sz w:val="18"/>
          <w:szCs w:val="18"/>
          <w:color w:val="auto"/>
        </w:rPr>
        <w:t>There can be no assurance that any of our plans will be successful or that additional capital will be available to us on reasonable terms, or at all, when needed. If we are unable to obtain sufficient additional capital, we may be forced to curtail operations, delay or stop ongoing clinical trials, cease operations altogether or file for bankruptcy.</w:t>
      </w:r>
    </w:p>
    <w:p>
      <w:pPr>
        <w:spacing w:after="0" w:line="181"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 candidates, or if any partner terminates or fails to perform its obligations under agreements with us, potential revenues from commercialization of our product candidates could be reduced, delayed or eliminated.</w:t>
      </w:r>
    </w:p>
    <w:p>
      <w:pPr>
        <w:spacing w:after="0" w:line="181"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Our business strategy is to increase the asset value of our product candidate portfolio. We believe this is best achieved by retaining full product rights or through collaborative arrangements with third parties as appropriate. As needed, potential third-party relationships could include preclinical development, clinical development, regulatory approval, marketing, sales and distribution of our product candidates.</w:t>
      </w:r>
    </w:p>
    <w:p>
      <w:pPr>
        <w:spacing w:after="0" w:line="18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Currently, we have established collaborative relationships with Mundipharma for the development and commercialization of Mundesine and with each of SUL, Shionogi and Green Cross for the development and commercialization of peramivir on a worldwide basis. The process of establishing and implementing collaborative relationships is difficult, time-consuming and involves significant uncertainty, including:</w:t>
      </w:r>
    </w:p>
    <w:p>
      <w:pPr>
        <w:spacing w:after="0" w:line="181" w:lineRule="exact"/>
        <w:rPr>
          <w:sz w:val="20"/>
          <w:szCs w:val="20"/>
          <w:color w:val="auto"/>
        </w:rPr>
      </w:pPr>
    </w:p>
    <w:p>
      <w:pPr>
        <w:ind w:left="580" w:right="740" w:hanging="34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partners may seek to renegotiate or terminate their relationships with us due to unsatisfactory commercial, regulatory or clinical results, including post approval clinical commitments, a change in business strategy, a change of control or other reasons;</w:t>
      </w:r>
    </w:p>
    <w:p>
      <w:pPr>
        <w:spacing w:after="0" w:line="146" w:lineRule="exact"/>
        <w:rPr>
          <w:rFonts w:ascii="Arial" w:cs="Arial" w:eastAsia="Arial" w:hAnsi="Arial"/>
          <w:sz w:val="17"/>
          <w:szCs w:val="17"/>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225" w:lineRule="exact"/>
        <w:rPr>
          <w:rFonts w:ascii="Arial" w:cs="Arial" w:eastAsia="Arial" w:hAnsi="Arial"/>
          <w:sz w:val="18"/>
          <w:szCs w:val="18"/>
          <w:color w:val="auto"/>
        </w:rPr>
      </w:pPr>
    </w:p>
    <w:p>
      <w:pPr>
        <w:ind w:left="580" w:right="240" w:hanging="342"/>
        <w:spacing w:after="0" w:line="277"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disputes with a partner that could lead to litigation or arbitration, such as the ongoing arbitration proceedings between us and each of SUL and Shionogi, which could result in substantial costs and divert the attention of our management;</w:t>
      </w:r>
    </w:p>
    <w:p>
      <w:pPr>
        <w:spacing w:after="0" w:line="170" w:lineRule="exact"/>
        <w:rPr>
          <w:rFonts w:ascii="Arial" w:cs="Arial" w:eastAsia="Arial" w:hAnsi="Arial"/>
          <w:sz w:val="18"/>
          <w:szCs w:val="18"/>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do not have day to day control over the activities of our partners and have limited control over their decisions;</w:t>
      </w:r>
    </w:p>
    <w:p>
      <w:pPr>
        <w:spacing w:after="0" w:line="225" w:lineRule="exact"/>
        <w:rPr>
          <w:rFonts w:ascii="Arial" w:cs="Arial" w:eastAsia="Arial" w:hAnsi="Arial"/>
          <w:sz w:val="18"/>
          <w:szCs w:val="18"/>
          <w:color w:val="auto"/>
        </w:rPr>
      </w:pPr>
    </w:p>
    <w:p>
      <w:pPr>
        <w:ind w:left="580" w:right="260" w:hanging="342"/>
        <w:spacing w:after="0" w:line="308" w:lineRule="auto"/>
        <w:tabs>
          <w:tab w:leader="none" w:pos="5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46" w:lineRule="exact"/>
        <w:rPr>
          <w:rFonts w:ascii="Arial" w:cs="Arial" w:eastAsia="Arial" w:hAnsi="Arial"/>
          <w:sz w:val="17"/>
          <w:szCs w:val="17"/>
          <w:color w:val="auto"/>
        </w:rPr>
      </w:pPr>
    </w:p>
    <w:p>
      <w:pPr>
        <w:ind w:left="580" w:right="240" w:hanging="342"/>
        <w:spacing w:after="0" w:line="264"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81" w:lineRule="exact"/>
        <w:rPr>
          <w:rFonts w:ascii="Arial" w:cs="Arial" w:eastAsia="Arial" w:hAnsi="Arial"/>
          <w:sz w:val="18"/>
          <w:szCs w:val="18"/>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towards our product candidates;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6" w:name="page27"/>
    <w:bookmarkEnd w:id="26"/>
    <w:p>
      <w:pPr>
        <w:ind w:right="120" w:firstLine="486"/>
        <w:spacing w:after="0" w:line="272" w:lineRule="auto"/>
        <w:rPr>
          <w:sz w:val="20"/>
          <w:szCs w:val="20"/>
          <w:color w:val="auto"/>
        </w:rPr>
      </w:pPr>
      <w:r>
        <w:rPr>
          <w:rFonts w:ascii="Arial" w:cs="Arial" w:eastAsia="Arial" w:hAnsi="Arial"/>
          <w:sz w:val="17"/>
          <w:szCs w:val="17"/>
          <w:color w:val="auto"/>
        </w:rPr>
        <w:t>If we or our partners fail to fulfill our responsibilities in a timely manner, or at all, our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of one or more of our product candidates, undertake commercialization activities at our own expense or find alternative sources of funding. Any delay in the development or commercialization of our product candidates would severely affect our business, because if our product candidates do not progress through the development process or reach the market in a timely manner, or at all, we may not receive additional future event payments and may never receive milestone, product sales or royalty payments.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do not have a great deal of experience in commercializing our products or technologies, and our future revenue generation is uncertain.</w:t>
      </w:r>
    </w:p>
    <w:p>
      <w:pPr>
        <w:spacing w:after="0" w:line="24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do not have a great deal of experience in commercializing our product candidates or technologies. We currently have limited marketing and commercial capability, no direct or third-party sales force and limited distribution capabilities. We may be unable to establish or sufficiently increase these capabilities for products we currently, or plan to, commercialize. In addition, our revenue from collaborative agreements may be dependent upon the status of our preclinical and clinical programs.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receive revenue from products we commercialize presents several risks, including:</w:t>
      </w:r>
    </w:p>
    <w:p>
      <w:pPr>
        <w:spacing w:after="0" w:line="225" w:lineRule="exact"/>
        <w:rPr>
          <w:sz w:val="20"/>
          <w:szCs w:val="20"/>
          <w:color w:val="auto"/>
        </w:rPr>
      </w:pPr>
    </w:p>
    <w:p>
      <w:pPr>
        <w:ind w:left="580" w:right="240" w:hanging="34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our collaborators may fail to successfully complete clinical trials, or satisfy post-marketing commitments, sufficient to obtain and keep FDA marketing approval;</w:t>
      </w:r>
    </w:p>
    <w:p>
      <w:pPr>
        <w:spacing w:after="0" w:line="170" w:lineRule="exact"/>
        <w:rPr>
          <w:rFonts w:ascii="Arial" w:cs="Arial" w:eastAsia="Arial" w:hAnsi="Arial"/>
          <w:sz w:val="18"/>
          <w:szCs w:val="18"/>
          <w:color w:val="auto"/>
        </w:rPr>
      </w:pPr>
    </w:p>
    <w:p>
      <w:pPr>
        <w:ind w:left="580" w:right="620" w:hanging="34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 candidates;</w:t>
      </w:r>
    </w:p>
    <w:p>
      <w:pPr>
        <w:spacing w:after="0" w:line="170" w:lineRule="exact"/>
        <w:rPr>
          <w:rFonts w:ascii="Arial" w:cs="Arial" w:eastAsia="Arial" w:hAnsi="Arial"/>
          <w:sz w:val="18"/>
          <w:szCs w:val="18"/>
          <w:color w:val="auto"/>
        </w:rPr>
      </w:pPr>
    </w:p>
    <w:p>
      <w:pPr>
        <w:ind w:left="580" w:right="680" w:hanging="34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and our products;</w:t>
      </w:r>
    </w:p>
    <w:p>
      <w:pPr>
        <w:spacing w:after="0" w:line="170" w:lineRule="exact"/>
        <w:rPr>
          <w:rFonts w:ascii="Arial" w:cs="Arial" w:eastAsia="Arial" w:hAnsi="Arial"/>
          <w:sz w:val="18"/>
          <w:szCs w:val="18"/>
          <w:color w:val="auto"/>
        </w:rPr>
      </w:pPr>
    </w:p>
    <w:p>
      <w:pPr>
        <w:ind w:left="580" w:right="640" w:hanging="34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spacing w:after="0" w:line="170" w:lineRule="exact"/>
        <w:rPr>
          <w:rFonts w:ascii="Arial" w:cs="Arial" w:eastAsia="Arial" w:hAnsi="Arial"/>
          <w:sz w:val="18"/>
          <w:szCs w:val="18"/>
          <w:color w:val="auto"/>
        </w:rPr>
      </w:pPr>
    </w:p>
    <w:p>
      <w:pPr>
        <w:ind w:left="580" w:hanging="34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products is affected by the competitive landscape, which cannot be fully known at this time;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 and</w:t>
      </w:r>
    </w:p>
    <w:p>
      <w:pPr>
        <w:spacing w:after="0" w:line="225" w:lineRule="exact"/>
        <w:rPr>
          <w:rFonts w:ascii="Arial" w:cs="Arial" w:eastAsia="Arial" w:hAnsi="Arial"/>
          <w:sz w:val="18"/>
          <w:szCs w:val="18"/>
          <w:color w:val="auto"/>
        </w:rPr>
      </w:pPr>
    </w:p>
    <w:p>
      <w:pPr>
        <w:ind w:left="580" w:right="960" w:hanging="34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revenue from product sales would depend on our ability to successfully complete clinical studies, obtain regulatory approvals, and manufacture, market and commercialize our approved drugs.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Commercialization of peramivir by our partners is subject to the potential commercialization risks described herein and numerous additional risks.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Any potential revenue benefits to us in the form of milestone payments, royalties or other consideration are highly speculative.</w:t>
      </w:r>
    </w:p>
    <w:p>
      <w:pPr>
        <w:spacing w:after="0" w:line="21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Commercialization success of peramivir is uncertain and is subject to all the risks and uncertainties disclosed in our other risk factors relating to drug development and commercialization. In addition, commercialization of peramivir products is subject to further risks and may be negatively impacted by a number of factors, including, but not limited to, the following:</w:t>
      </w:r>
    </w:p>
    <w:p>
      <w:pPr>
        <w:spacing w:after="0" w:line="181" w:lineRule="exact"/>
        <w:rPr>
          <w:sz w:val="20"/>
          <w:szCs w:val="20"/>
          <w:color w:val="auto"/>
        </w:rPr>
      </w:pPr>
    </w:p>
    <w:p>
      <w:pPr>
        <w:ind w:left="580" w:right="200" w:hanging="34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peramivir may not prove to be adequately safe and effective for market approval in markets other than the United States, Canada, Japan, Korea and Taiwan, Australia and the European Union;</w:t>
      </w:r>
    </w:p>
    <w:p>
      <w:pPr>
        <w:spacing w:after="0" w:line="170" w:lineRule="exact"/>
        <w:rPr>
          <w:rFonts w:ascii="Arial" w:cs="Arial" w:eastAsia="Arial" w:hAnsi="Arial"/>
          <w:sz w:val="18"/>
          <w:szCs w:val="18"/>
          <w:color w:val="auto"/>
        </w:rPr>
      </w:pPr>
    </w:p>
    <w:p>
      <w:pPr>
        <w:ind w:left="580" w:hanging="342"/>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necessary funding for post-marketing commitments and further development of peramivir may not be available timely, at all, or in sufficient amounts;</w:t>
      </w:r>
    </w:p>
    <w:p>
      <w:pPr>
        <w:spacing w:after="0" w:line="248" w:lineRule="exact"/>
        <w:rPr>
          <w:rFonts w:ascii="Arial" w:cs="Arial" w:eastAsia="Arial" w:hAnsi="Arial"/>
          <w:sz w:val="16"/>
          <w:szCs w:val="16"/>
          <w:color w:val="auto"/>
        </w:rPr>
      </w:pPr>
    </w:p>
    <w:p>
      <w:pPr>
        <w:ind w:left="580" w:hanging="34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 prevention or pandemic treatment concerns may not materialize at all, or in the near future;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advances in flu vaccines or other antivirals, including competitive i.v. antivirals, could substantially replace potential demand for peramivir;</w:t>
      </w:r>
    </w:p>
    <w:p>
      <w:pPr>
        <w:spacing w:after="0" w:line="236" w:lineRule="exact"/>
        <w:rPr>
          <w:rFonts w:ascii="Arial" w:cs="Arial" w:eastAsia="Arial" w:hAnsi="Arial"/>
          <w:sz w:val="17"/>
          <w:szCs w:val="17"/>
          <w:color w:val="auto"/>
        </w:rPr>
      </w:pPr>
    </w:p>
    <w:p>
      <w:pPr>
        <w:ind w:left="580" w:right="40" w:hanging="34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number of governmental entities are expected to be the primary potential stockpiling customers for peramivir and if we are not successful at marketing peramivir to these entities for any reason, we will not receive substantial revenues from stockpiling orders;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7" w:name="page28"/>
    <w:bookmarkEnd w:id="27"/>
    <w:p>
      <w:pPr>
        <w:ind w:left="580" w:hanging="34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 and third party payors may not provide sufficient coverage or reimbursement which would negatively impact the demand for peramivir;</w:t>
      </w:r>
    </w:p>
    <w:p>
      <w:pPr>
        <w:spacing w:after="0" w:line="248" w:lineRule="exact"/>
        <w:rPr>
          <w:rFonts w:ascii="Arial" w:cs="Arial" w:eastAsia="Arial" w:hAnsi="Arial"/>
          <w:sz w:val="16"/>
          <w:szCs w:val="16"/>
          <w:color w:val="auto"/>
        </w:rPr>
      </w:pPr>
    </w:p>
    <w:p>
      <w:pPr>
        <w:ind w:left="580" w:right="140" w:hanging="34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spacing w:after="0" w:line="170" w:lineRule="exact"/>
        <w:rPr>
          <w:rFonts w:ascii="Arial" w:cs="Arial" w:eastAsia="Arial" w:hAnsi="Arial"/>
          <w:sz w:val="18"/>
          <w:szCs w:val="18"/>
          <w:color w:val="auto"/>
        </w:rPr>
      </w:pPr>
    </w:p>
    <w:p>
      <w:pPr>
        <w:ind w:left="580" w:right="20" w:hanging="342"/>
        <w:spacing w:after="0" w:line="277"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commercial demand and acceptance for peramivir by healthcare providers and by patients may not be sufficient to result in substantial revenues of peramivir to our partners and may result in little to no milestones or royalties to us;</w:t>
      </w:r>
    </w:p>
    <w:p>
      <w:pPr>
        <w:spacing w:after="0" w:line="170"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peramivir by our partners;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pricing and availability of alternative products;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sz w:val="20"/>
          <w:szCs w:val="20"/>
          <w:color w:val="auto"/>
        </w:rPr>
      </w:pPr>
    </w:p>
    <w:p>
      <w:pPr>
        <w:ind w:left="260" w:right="160"/>
        <w:spacing w:after="0" w:line="277" w:lineRule="auto"/>
        <w:rPr>
          <w:sz w:val="20"/>
          <w:szCs w:val="20"/>
          <w:color w:val="auto"/>
        </w:rPr>
      </w:pPr>
      <w:r>
        <w:rPr>
          <w:rFonts w:ascii="Arial" w:cs="Arial" w:eastAsia="Arial" w:hAnsi="Arial"/>
          <w:sz w:val="18"/>
          <w:szCs w:val="18"/>
          <w:b w:val="1"/>
          <w:bCs w:val="1"/>
          <w:i w:val="1"/>
          <w:iCs w:val="1"/>
          <w:color w:val="auto"/>
        </w:rPr>
        <w:t>We are subject to various federal and state laws related to RAPIVAB and other products under development and, if we or our partners do not comply with these regulations, we could face substantial penalties.</w:t>
      </w:r>
    </w:p>
    <w:p>
      <w:pPr>
        <w:spacing w:after="0" w:line="170"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Our or our partners’ activities related to RAPIVAB, or any of our other products under development and following their regulatory approval, are subject to regulatory and law enforcement authorities in addition to the FDA, including the Federal Trade Commission, the Department of Justice, and state and local governments. In the case of our collaboration with SUL, although SUL is responsible for RAPIVAB marketing and commercialization efforts, we continue to carry certain risks associated with RAPIVAB because we hold the RAPIVAB NDA. For example, we are responsible for reporting adverse drug experiences, we have responsibility for certain post-approval studies, we may have responsibilities and costs related to a recall or withdrawal of RAPIVAB from sale, we may incur liability associated with RAPIVAB manufacturing contracted by us or in support of any of our partners, we are required to maintain records and provide data and reports to regulatory agencies related to RAPIVAB (e.g. risk evaluation and mitigation strategies, track and trace requirements, adverse events), and we may incur certain promotional regulatory and government pricing risks, all of which could have a material adverse impact on our operations and financial condition.</w:t>
      </w:r>
    </w:p>
    <w:p>
      <w:pPr>
        <w:spacing w:after="0" w:line="18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addition, we are subject to the federal physician sunshine act and certain similar physician payment and drug pricing transparency legislation in various states. We are also subject to various federal and state laws pertaining to health care “fraud and abuse,” including both federal and state anti-kickback and false claims laws. These laws regulate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 Although we seek to comply with these statutes, it is possible that our practices, or those of our partners, might be challenged under health care fraud and abuse, anti-kickback, false claims or similar laws. Violations of the physician sunshine act and similar state legislation or the fraud and abuse laws may be punishable by civil or criminal sanctions, including fines and civil monetary penalties, and future exclusion from participation in government healthcare programs.</w:t>
      </w:r>
    </w:p>
    <w:p>
      <w:pPr>
        <w:spacing w:after="0" w:line="16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ind w:right="20" w:firstLine="486"/>
        <w:spacing w:after="0" w:line="270" w:lineRule="auto"/>
        <w:rPr>
          <w:sz w:val="20"/>
          <w:szCs w:val="20"/>
          <w:color w:val="auto"/>
        </w:rPr>
      </w:pPr>
      <w:r>
        <w:rPr>
          <w:rFonts w:ascii="Arial" w:cs="Arial" w:eastAsia="Arial" w:hAnsi="Arial"/>
          <w:sz w:val="17"/>
          <w:szCs w:val="17"/>
          <w:color w:val="auto"/>
        </w:rPr>
        <w:t>We have a number of outstanding post-approval commitments to the FDA and EMA that we retain, despite our partnership with SUL, which we may not complete successfully or on time for any number of reasons, including but not limited to lack of funds to complete the studies and insufficient interest by appropriate sites, investigators or study subjects. For example, as a condition of the approval of RAPIVAB/ALPIVAB, we were required to complete pediatric patient trials and to submit the final results of these clinical trials to the FDA and EMA. We may be subject to penalties if we fail to comply with post-approval legal and regulatory requirements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RAPIVAB/ALPIVAB and any other future product candidates may be subject to requirements for costly post-approval testing and surveillance to monitor its safety or efficacy.</w:t>
      </w:r>
    </w:p>
    <w:p>
      <w:pPr>
        <w:spacing w:after="0" w:line="182" w:lineRule="exact"/>
        <w:rPr>
          <w:sz w:val="20"/>
          <w:szCs w:val="20"/>
          <w:color w:val="auto"/>
        </w:rPr>
      </w:pPr>
    </w:p>
    <w:p>
      <w:pPr>
        <w:ind w:right="200" w:firstLine="486"/>
        <w:spacing w:after="0" w:line="297" w:lineRule="auto"/>
        <w:rPr>
          <w:sz w:val="20"/>
          <w:szCs w:val="20"/>
          <w:color w:val="auto"/>
        </w:rPr>
      </w:pPr>
      <w:r>
        <w:rPr>
          <w:rFonts w:ascii="Arial" w:cs="Arial" w:eastAsia="Arial" w:hAnsi="Arial"/>
          <w:sz w:val="16"/>
          <w:szCs w:val="16"/>
          <w:color w:val="auto"/>
        </w:rPr>
        <w:t>Advertising and promotion are subject to stringent FDA rules and oversight and as the holder of the NDA we may be held responsible for any advertising and promotion conducted by our partner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Adverse event information concerning approved products must be reviewed and as the NDA holder of RAPIVAB we are required to make expedited and periodic adverse event reports to the FDA and other regulatory authorities.</w:t>
      </w:r>
    </w:p>
    <w:p>
      <w:pPr>
        <w:spacing w:after="0" w:line="15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addition, the research, manufacturing, distribution, sale and promotion of products are potentially subject to regulation by various federal, state and local authorities in addition to the FDA, including the Centers for Medicare and Medicaid Services, other divisions of the U.S. Department of Health and Human Services, the U.S. Department of Justice and individual U.S. Attorney offices within the Department of Justice, and state and local governments. All of these activities are also potentially subject to federal and state healthcare false claims and fraud and abuse laws, as well as consumer protection and unfair competition laws.</w:t>
      </w:r>
    </w:p>
    <w:p>
      <w:pPr>
        <w:spacing w:after="0" w:line="18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If our operations with respect to RAPIVAB or our other products that are subject to healthcare laws and regulations are found to be in violation of any of the healthcare fraud and abuse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federal and state fraud and abuse laws may be costly.</w:t>
      </w:r>
    </w:p>
    <w:p>
      <w:pPr>
        <w:spacing w:after="0" w:line="178" w:lineRule="exact"/>
        <w:rPr>
          <w:sz w:val="20"/>
          <w:szCs w:val="20"/>
          <w:color w:val="auto"/>
        </w:rPr>
      </w:pPr>
    </w:p>
    <w:p>
      <w:pPr>
        <w:ind w:left="260" w:right="480"/>
        <w:spacing w:after="0" w:line="381" w:lineRule="auto"/>
        <w:rPr>
          <w:sz w:val="20"/>
          <w:szCs w:val="20"/>
          <w:color w:val="auto"/>
        </w:rPr>
      </w:pPr>
      <w:r>
        <w:rPr>
          <w:rFonts w:ascii="Arial" w:cs="Arial" w:eastAsia="Arial" w:hAnsi="Arial"/>
          <w:sz w:val="15"/>
          <w:szCs w:val="15"/>
          <w:b w:val="1"/>
          <w:bCs w:val="1"/>
          <w:i w:val="1"/>
          <w:iCs w:val="1"/>
          <w:color w:val="auto"/>
        </w:rPr>
        <w:t>We and our partners may be subject to new legislation, regulatory proposals and healthcare payor initiatives that may increase our costs of compliance and adversely affect our or our partners’ ability to market our products, including RAPIVAB, obtain collaborators and raise capital.</w:t>
      </w:r>
    </w:p>
    <w:p>
      <w:pPr>
        <w:spacing w:after="0" w:line="10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Patient Protection and Affordable Care Act, or PPACA, made extensive changes to the delivery of health care in the U.S. The PPACA included numerous provisions that affect pharmaceutical companies, some of which became effective immediately and others of which have taken effect over the past several years. For example, the PPACA expanded health 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U.S., and an expansion of an existing program requiring pharmaceutical discounts to certain types of hospitals and federally subsidized clinics. The PPACA also contains cost containment measures that could reduce reimbursement levels for health care items and services generally, including pharmaceuticals. It also required reporting and public disclosure of payments and other transfers of value provided by pharmaceutical companies to physicians and teaching hospitals.</w:t>
      </w:r>
    </w:p>
    <w:p>
      <w:pPr>
        <w:spacing w:after="0" w:line="197"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expect that the current presidential administration and U.S. Congress will likely continue to seek to modify, repeal, or otherwise invalidate all, or certain provisions of, the PPACA. There is still significant uncertainty with respect to the impact that the current presidential administration and the U.S. Congress may have on the PPACA, if any, and any changes will likely take time to unfold. As such, we cannot predict what effect the PPACA or other healthcare reform initiatives that may be adopted in the future will have on our business.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ind w:firstLine="486"/>
        <w:spacing w:after="0" w:line="289" w:lineRule="auto"/>
        <w:rPr>
          <w:sz w:val="20"/>
          <w:szCs w:val="20"/>
          <w:color w:val="auto"/>
        </w:rPr>
      </w:pPr>
      <w:r>
        <w:rPr>
          <w:rFonts w:ascii="Arial" w:cs="Arial" w:eastAsia="Arial" w:hAnsi="Arial"/>
          <w:sz w:val="16"/>
          <w:szCs w:val="16"/>
          <w:color w:val="auto"/>
        </w:rPr>
        <w:t>We cannot predict what effect the PPACA or other healthcare reform initiatives that may be adopted in the future will have on our business. The continuing efforts of the government, insurance companies, managed care organizations and other payors of health care services to contain or reduce costs of health 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6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there have been a number of other legislative and regulatory proposals aimed at changing the pharmaceutical industry. In particular,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9"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Adequate coverage and reimbursement in the U.S. and other markets is critical to the commercial success of RAPIVAB or any other product that we might bring to market. Recently in the U.S. there has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 care authorities and individual hospitals are increasingly using bidding procedures to determine what pharmaceutical products and which suppliers will be included in their prescription drug and other health 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our product and makes a decision with respect to coverage. For example, third-party payors may require cost-benefit analysis data from us in order to demonstrate the cost-effectiveness of RAPIVAB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peramivir (RAPIVAB).</w:t>
      </w:r>
    </w:p>
    <w:p>
      <w:pPr>
        <w:spacing w:after="0" w:line="22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United States Government use or sale of RAPIVAB in emergency situations, or otherwise, may result in the use of RAPIVAB outside of its approved use. To the extent that RAPIVAB is used as a treatment for influenza by the U.S. Government or peramivir by any other government entity, there can be no assurance that it will prove to be generally safe, well-tolerated and effective. Such government use of RAPIVAB/peramivir may create certain liabilities for us or our partners in the case of government use outside of the U.S. There is no assurance that we or our manufacturers will be able to fully meet the demand for peramivir in the event of additional orders. Further, we may not achieve a favorable price for additional orders of RAPIVAB in the U.S. or peramivir in any other country. Our competitors may develop products that could compete with or replace peramivir. We may face competition in markets where we have no existing intellectual property protection or are unable to successfully enforce our intellectual property rights.</w:t>
      </w:r>
    </w:p>
    <w:p>
      <w:pPr>
        <w:spacing w:after="0" w:line="16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There is no assurance that the non-U.S. partnerships that we have entered into for peramivir will result in any order for peramivir in those countries. There is no assurance that peramivir will be approved for any use or will achieve market approval in additional countries. In the event that any emergency use or market approval is granted, there is no assurance that any government order or commercialization of peramivir in any countries will be substantial or will be profitable to us. In addition, the sale of peramivir, emergency use or other use of peramivir in any country may create certain liabilities for us and our partners.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ind w:left="260" w:right="140"/>
        <w:spacing w:after="0" w:line="342" w:lineRule="auto"/>
        <w:rPr>
          <w:sz w:val="20"/>
          <w:szCs w:val="20"/>
          <w:color w:val="auto"/>
        </w:rPr>
      </w:pPr>
      <w:r>
        <w:rPr>
          <w:rFonts w:ascii="Arial" w:cs="Arial" w:eastAsia="Arial" w:hAnsi="Arial"/>
          <w:sz w:val="16"/>
          <w:szCs w:val="16"/>
          <w:b w:val="1"/>
          <w:bCs w:val="1"/>
          <w:i w:val="1"/>
          <w:iCs w:val="1"/>
          <w:color w:val="auto"/>
        </w:rPr>
        <w:t>If we or our partners do not obtain and maintain governmental approvals for our product candidates under development, we or our partners will not be able to sell these potential products, which would significantly harm our business because we will receive no revenue.</w:t>
      </w:r>
    </w:p>
    <w:p>
      <w:pPr>
        <w:spacing w:after="0" w:line="124"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or our partners must obtain regulatory approval before marketing or selling our future product candidates. If we or our partners are unable to receive regulatory approval and do not market or sell our future product candidates, we will never receive any revenue from such product sales. In the United States, we or our partners must obtain FDA approval for product candidates that we intend to commercialize. The process of preparing for and obtaining FDA approval may be lengthy and expensive, and approval is never certain. Products distributed abroad are also subject to foreign government regulation and export laws of the United States. Because of the risks and uncertainties in biopharmaceutical development, our product candidates could take a significantly longer time to gain regulatory approval than we expect or may never gain approval. If the FDA delays regulatory approval of our product candidates, our management’s credibility, our value and our operating results may suffer. Even if the FDA or foreign regulatory agencies approve a product candidate, the approval may limit the indicated uses for a product candidate and/or may require post-approval studies.</w:t>
      </w:r>
    </w:p>
    <w:p>
      <w:pPr>
        <w:spacing w:after="0" w:line="179"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The FDA regulates, among other things, the record keeping and storage of data pertaining to potential pharmaceutical products. We currently store most of our preclinical research data, our clinical data and our manufacturing data at our facility. While we do store duplicate copies of most of our clinical data offsite and a significant portion of our data is included in regular backups of our systems, we could lose important data if our facility incurs damage, or if our vendor data systems fail, suffer damage or are destroyed. If we receive approval to market our potential products, whether in the United States or internationally, we will continue to be subject to extensive regulatory requirements. These requirements are wide ranging and govern, among other things:</w:t>
      </w:r>
    </w:p>
    <w:p>
      <w:pPr>
        <w:spacing w:after="0" w:line="158" w:lineRule="exact"/>
        <w:rPr>
          <w:sz w:val="20"/>
          <w:szCs w:val="20"/>
          <w:color w:val="auto"/>
        </w:rPr>
      </w:pPr>
    </w:p>
    <w:p>
      <w:pPr>
        <w:ind w:left="580" w:hanging="34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drug experience reporting regulations;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promotion;</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manufacturing, including good manufacturing practice requirements;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changes or modifications.</w:t>
      </w:r>
    </w:p>
    <w:p>
      <w:pPr>
        <w:spacing w:after="0" w:line="22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failure to comply with existing or future regulatory requirements, or our loss of, or changes to, previously obtained approvals, could have a material adverse effect on our business because we will not receive product or royalty revenues if we or our partners do not receive approval of our products for marketing.</w:t>
      </w:r>
    </w:p>
    <w:p>
      <w:pPr>
        <w:spacing w:after="0" w:line="181" w:lineRule="exact"/>
        <w:rPr>
          <w:sz w:val="20"/>
          <w:szCs w:val="20"/>
          <w:color w:val="auto"/>
        </w:rPr>
      </w:pPr>
    </w:p>
    <w:p>
      <w:pPr>
        <w:ind w:left="260" w:right="100"/>
        <w:spacing w:after="0" w:line="264" w:lineRule="auto"/>
        <w:rPr>
          <w:sz w:val="20"/>
          <w:szCs w:val="20"/>
          <w:color w:val="auto"/>
        </w:rPr>
      </w:pPr>
      <w:r>
        <w:rPr>
          <w:rFonts w:ascii="Arial" w:cs="Arial" w:eastAsia="Arial" w:hAnsi="Arial"/>
          <w:sz w:val="18"/>
          <w:szCs w:val="18"/>
          <w:b w:val="1"/>
          <w:bCs w:val="1"/>
          <w:i w:val="1"/>
          <w:iCs w:val="1"/>
          <w:color w:val="auto"/>
        </w:rPr>
        <w:t>Royalties and milestone payments from Shionogi under our license agreement with Shionogi (the "Shionogi Agreement") will be required to be used by Royalty Sub to service its obligations under its PhaRMA Notes, and generally will not be available to us for other purposes until Royalty Sub has repaid in full its obligations under the PhaRMA Notes.</w:t>
      </w:r>
    </w:p>
    <w:p>
      <w:pPr>
        <w:spacing w:after="0" w:line="181"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(ii) rights to certain payments under a Japanese yen/U.S. dollar Currency Hedge Agreement put into place by us in connection with the issuance of the PhaRMA Notes and (iii) the pledge by us of our equity interest in Royalty Sub. Payments from Shionogi to us on non-governmental sales under the Shionogi Agreement will generally not be available to us for other purposes until Royalty Sub has repaid in full its obligations under the PhaRMA Notes. Accordingly, these funds will be required to be dedicated to Royalty Sub’s debt service and not available to us for product development or other purposes. As of September 1, 2014, the payments from Shionogi were insufficient for Royalty Sub to service its obligations under the PhaRMA Notes, resulting in an event of default with respect to the PhaRMA Notes. As a result of this event of default, the holders of the PhaRMA Notes may be able to pursue acceleration of the PhaRMA Notes and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1" w:name="page32"/>
    <w:bookmarkEnd w:id="31"/>
    <w:p>
      <w:pPr>
        <w:ind w:left="260" w:right="140"/>
        <w:spacing w:after="0" w:line="259" w:lineRule="auto"/>
        <w:rPr>
          <w:sz w:val="20"/>
          <w:szCs w:val="20"/>
          <w:color w:val="auto"/>
        </w:rPr>
      </w:pPr>
      <w:r>
        <w:rPr>
          <w:rFonts w:ascii="Arial" w:cs="Arial" w:eastAsia="Arial" w:hAnsi="Arial"/>
          <w:sz w:val="18"/>
          <w:szCs w:val="18"/>
          <w:b w:val="1"/>
          <w:bCs w:val="1"/>
          <w:i w:val="1"/>
          <w:iCs w:val="1"/>
          <w:color w:val="auto"/>
        </w:rPr>
        <w:t>Because an event of default has occurred under the PhaRMA Notes, the holders of the PhaRMA Notes may be able to pursue acceleration of the PhaRMA Notes and foreclose on the collateral securing the PhaRMA Notes and our equity interest in Royalty Sub, in which case we may not realize the benefit of future royalty payments that might otherwise accrue to us following repayment of the PhaRMA Notes and we could otherwise be adversely affected.</w:t>
      </w:r>
    </w:p>
    <w:p>
      <w:pPr>
        <w:spacing w:after="0" w:line="187"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Royalty Sub’s ability to service its payment obligations in respect of the PhaRMA Notes, and our ability to benefit from our equity interest in Royalty Sub, is subject to numerous risks. Royalty Sub’s ability to service the PhaRMA Notes may be adversely affected by, among other things, changes in or any termination of our relationship with Shionogi, reimbursement, regulatory, manufacturing and/or intellectual property issues, product returns, product recalls, product liability claims and allegations of safety issues, as well as other factors. As Royalty Sub has been unable to service its obligations under the PhaRMA Notes and an event of default has occurred under the PhaRMA Notes, the holders of the PhaRMA Notes may be able to pursue acceleration of the PhaRMA Notes and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that might otherwise accrue to us following repayment of the PhaRMA Notes, we may incur legal costs and we might otherwise be adversely affected.</w:t>
      </w:r>
    </w:p>
    <w:p>
      <w:pPr>
        <w:spacing w:after="0" w:line="166" w:lineRule="exact"/>
        <w:rPr>
          <w:sz w:val="20"/>
          <w:szCs w:val="20"/>
          <w:color w:val="auto"/>
        </w:rPr>
      </w:pPr>
    </w:p>
    <w:p>
      <w:pPr>
        <w:ind w:left="260" w:right="60"/>
        <w:spacing w:after="0" w:line="286" w:lineRule="auto"/>
        <w:rPr>
          <w:sz w:val="20"/>
          <w:szCs w:val="20"/>
          <w:color w:val="auto"/>
        </w:rPr>
      </w:pPr>
      <w:r>
        <w:rPr>
          <w:rFonts w:ascii="Arial" w:cs="Arial" w:eastAsia="Arial" w:hAnsi="Arial"/>
          <w:sz w:val="17"/>
          <w:szCs w:val="17"/>
          <w:b w:val="1"/>
          <w:bCs w:val="1"/>
          <w:i w:val="1"/>
          <w:iCs w:val="1"/>
          <w:color w:val="auto"/>
        </w:rPr>
        <w:t>We may be required to pay significant premiums under the Currency Hedge Agreement entered into by us in connection with the issuance of the PhaRMA Notes. In addition, because our potential obligations under the foreign currency hedge are marked to market, we may experience additional quarterly volatility in our operating results and cash flows attributable to the Currency Hedge Agreement.</w:t>
      </w:r>
    </w:p>
    <w:p>
      <w:pPr>
        <w:spacing w:after="0" w:line="166"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connection with the issuance by Royalty Sub of the PhaRMA Notes, we entered into a Currency Hedge Agreement to hedge certain risks associated with changes in the value of the Japanese yen relative to the U.S. dollar. Under the foreign currency hedge agreement, we may be required to pay an annual premium in the amount of $2.0 million in each May continuing through May 2020. Such payment will be required if, in May of the relevant year, the spot rate of exchange for Japanese yen-U.S. dollars (determined in accordance with the Currency Hedge Agreement) is such that the U.S. dollar is worth 100 yen or less. We will be required to mark to market our potential obligations under the currency hedge and post cash collateral, which may cause us to experience additional quarterly volatility in our operating results and cash flows as a result. Additionally, we may be required to pay significant premiums or a termination fee under the foreign currency hedge agreement entered into by us in connection with the issuance of the PhaRMA Notes. We are required to maintain a foreign currency hedge at 100 yen per dollar under the agreements governing the PhaRMA Notes.</w:t>
      </w:r>
    </w:p>
    <w:p>
      <w:pPr>
        <w:spacing w:after="0" w:line="179" w:lineRule="exact"/>
        <w:rPr>
          <w:sz w:val="20"/>
          <w:szCs w:val="20"/>
          <w:color w:val="auto"/>
        </w:rPr>
      </w:pPr>
    </w:p>
    <w:p>
      <w:pPr>
        <w:jc w:val="both"/>
        <w:ind w:left="260"/>
        <w:spacing w:after="0" w:line="286" w:lineRule="auto"/>
        <w:rPr>
          <w:sz w:val="20"/>
          <w:szCs w:val="20"/>
          <w:color w:val="auto"/>
        </w:rPr>
      </w:pPr>
      <w:r>
        <w:rPr>
          <w:rFonts w:ascii="Arial" w:cs="Arial" w:eastAsia="Arial" w:hAnsi="Arial"/>
          <w:sz w:val="17"/>
          <w:szCs w:val="17"/>
          <w:b w:val="1"/>
          <w:bCs w:val="1"/>
          <w:i w:val="1"/>
          <w:iCs w:val="1"/>
          <w:color w:val="auto"/>
        </w:rPr>
        <w:t>Our Second Amended and Restated Senior Credit Facility contains restrictions that limit our flexibility in operating our business. We may be required to make a prepayment or repay the outstanding indebtedness earlier than we expect if a prepayment event or an event of default occurs, including a material adverse change with respect to us, which could have a material adverse effect on our business.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Second Amended and Restated Senior Credit Facility contains various covenants that limit our ability to engage in specified types of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limit our ability to, among other things:</w:t>
      </w:r>
    </w:p>
    <w:p>
      <w:pPr>
        <w:spacing w:after="0" w:line="211" w:lineRule="exact"/>
        <w:rPr>
          <w:sz w:val="20"/>
          <w:szCs w:val="20"/>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convey, sell, lease, license, transfer or otherwise dispose of certain parts of our business or property;</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liquidate or dissolve;</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certain change in control or acquisition transactions;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liquidate or transfer assets in certain collateral accounts;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make certain distributions to our stockholders;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material transactions with affiliates;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existing debt or collaboration arrangements.</w:t>
      </w:r>
    </w:p>
    <w:p>
      <w:pPr>
        <w:spacing w:after="0" w:line="225"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The restrictive covenants contained in the Second Amended and Restated Senior Credit Facility could cause us to be unable to pursue business opportunities that we or our stockholders may consider beneficial without the lender’s permission or without repaying all Second Amended and Restated Senior Credit Facility obligations.</w:t>
      </w:r>
    </w:p>
    <w:p>
      <w:pPr>
        <w:spacing w:after="0" w:line="18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Second Amended and Restated Senior Credit Facility. An event of default will also occur if, among other things, a material adverse change in our business, operations or condition occurs, which could potentially include negative results in clinical trials, or a material impairment of the prospect of our repayment of any portion of the amounts we owe under the Second Amended and Restated Senior Credit Facility occurs. In the case of a continuing event of default under the agreement, the lender could elect to declare all amounts outstanding to be immediately due and payable, proceed against the collateral in which we granted to the lender a security interest under the Second Amended and Restated Senior Credit Facility, or otherwise exercise the rights of a secured creditor. Amounts outstanding under the Second Amended and Restated Senior Credit Facility are secured by substantially all of our assets and those of our subsidiaries, excluding certain specified assets but including proceeds from those assets.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248" w:gutter="0" w:footer="0" w:header="0"/>
        </w:sectPr>
      </w:pPr>
    </w:p>
    <w:bookmarkStart w:id="32" w:name="page33"/>
    <w:bookmarkEnd w:id="32"/>
    <w:p>
      <w:pPr>
        <w:ind w:left="260" w:right="7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or secure rights to patents of others, the value of those rights would diminish.</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8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81"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70"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Competitors may infringe or otherwise violate our patents, the patents of our licensors or our other intellectual property rights. To counter infringement or unauthorized use, we may be required to file legal claims, which can be expensive and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8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the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66" w:lineRule="exact"/>
        <w:rPr>
          <w:sz w:val="20"/>
          <w:szCs w:val="20"/>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225" w:lineRule="exact"/>
        <w:rPr>
          <w:rFonts w:ascii="Arial" w:cs="Arial" w:eastAsia="Arial" w:hAnsi="Arial"/>
          <w:sz w:val="18"/>
          <w:szCs w:val="18"/>
          <w:color w:val="auto"/>
        </w:rPr>
      </w:pPr>
    </w:p>
    <w:p>
      <w:pPr>
        <w:ind w:left="580" w:right="120" w:hanging="342"/>
        <w:spacing w:after="0" w:line="27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spacing w:after="0" w:line="170" w:lineRule="exact"/>
        <w:rPr>
          <w:rFonts w:ascii="Arial" w:cs="Arial" w:eastAsia="Arial" w:hAnsi="Arial"/>
          <w:sz w:val="18"/>
          <w:szCs w:val="18"/>
          <w:color w:val="auto"/>
        </w:rPr>
      </w:pPr>
    </w:p>
    <w:p>
      <w:pPr>
        <w:ind w:left="580" w:hanging="342"/>
        <w:spacing w:after="0"/>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ind w:left="50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such proceeding may be substantial whether or not we are successful.</w:t>
      </w:r>
    </w:p>
    <w:p>
      <w:pPr>
        <w:spacing w:after="0" w:line="187"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 candidates and any such events would significantly impair the value of such product candidates.</w:t>
      </w:r>
    </w:p>
    <w:p>
      <w:pPr>
        <w:spacing w:after="0" w:line="189"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regulations and other legal obligations related to privacy, data protection and information security could harm our business.</w:t>
      </w:r>
    </w:p>
    <w:p>
      <w:pPr>
        <w:spacing w:after="0" w:line="17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European Union (“EU”) member states, Switzerland and other countries have adopted data protection laws and regulations, which impose significant compliance obligations. For example, the General Data Protection Regulation (“GDPR”) imposes strict requirements on controllers and processors of personal data, including special protections for “special category data,” which includes health, biometric and genetic information of data subjects located in the EU. Further,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GDPR grants individuals the opportunity to object to the processing of their personal information, allows them to request deletion of personal information in certain circumstances, and provides the individual with an express right to seek legal remedies in the event the individual believes his or her rights have been violated. Further, the GDPR imposes strict rules on the transfer of personal data out of the EU to the United States or other regions that have not been deemed to offer “adequate” privacy protections.</w:t>
      </w:r>
    </w:p>
    <w:p>
      <w:pPr>
        <w:spacing w:after="0" w:line="18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Failure to comply with the requirements of the GDPR and the related national data protection laws of the EU member states, which may deviate slightly from the GDPR, may result in significant fines of up to 4% of global revenues, or €20,000,000, whichever is greater, and in addition to such fines, our failure to comply with the requirements of GDPR may subject us to litigation and/or adverse publicity, which could have material adverse effect on our reputation and business. As a result of the implementation of the GDPR, we are required to put in place additional mechanisms to ensure compliance with the new data protection rules. For example, the GDPR requires us to make more detailed disclosures to data subjects, requires disclosure of the legal basis on which we can process personal data, makes it harder for us to obtain valid consent for processing, will require the appointment of a data protection officer where sensitive personal data (i.e., health data) is processed on a large scale, introduces mandatory data breach notification throughout the EU, imposes additional obligations on us when we are contracting with service providers and requires us to adopt appropriate privacy governance including policies, procedures, training and data audit.</w:t>
      </w:r>
    </w:p>
    <w:p>
      <w:pPr>
        <w:spacing w:after="0" w:line="18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are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 is in the process of replacing the e-Privacy Directive (2002/58/EC) with a new set of rules taking the form of a regulation that will be directly implemented in the laws of each European member state. While the e-Privacy Regulation was originally intended to be adopted on May 25, 2018, it is still going through the European legislative process and commentators now expect it to be adopted during the middle or second half of 2020.</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4" w:name="page35"/>
    <w:bookmarkEnd w:id="34"/>
    <w:p>
      <w:pPr>
        <w:ind w:left="260" w:right="140"/>
        <w:spacing w:after="0" w:line="342" w:lineRule="auto"/>
        <w:rPr>
          <w:sz w:val="20"/>
          <w:szCs w:val="20"/>
          <w:color w:val="auto"/>
        </w:rPr>
      </w:pPr>
      <w:r>
        <w:rPr>
          <w:rFonts w:ascii="Arial" w:cs="Arial" w:eastAsia="Arial" w:hAnsi="Arial"/>
          <w:sz w:val="16"/>
          <w:szCs w:val="16"/>
          <w:b w:val="1"/>
          <w:bCs w:val="1"/>
          <w:i w:val="1"/>
          <w:iCs w:val="1"/>
          <w:color w:val="auto"/>
        </w:rPr>
        <w:t>The United Kingdom’s decision to withdraw from the EU could result in increased regulatory and legal complexity, which may make it more difficult for us to do business in Europe and impose additional challenges in securing regulatory approval of our product candidates in Europe.</w:t>
      </w:r>
    </w:p>
    <w:p>
      <w:pPr>
        <w:spacing w:after="0" w:line="12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Negotiations for the United Kingdom’s exit from the EU, or Brexit, have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 and result in increased legal and regulatory complexities, as well as potential higher costs of conducting business in Europe. For instance, preparations for Brexit have resulted in the decision to move the EMA from the United Kingdom to the Netherlands. This transition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8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cumulative effects of the disruption to the regulatory framework may add considerably to the development lead time to marketing authorization and commercialization of products in the EU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 and restrict our ability to generate revenues and achieve and sustain profitability.</w:t>
      </w:r>
    </w:p>
    <w:p>
      <w:pPr>
        <w:spacing w:after="0" w:line="193"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 Given these possibilities and others we may not anticipate, as well as the absence of comparable precedent, it is unclear what financial, regulatory and legal implications the withdrawal of the United Kingdom from EU would have and how such withdrawal would affect us, and the full extent to which our business could be adversely affected.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legal proceedings, which could result in losses or unexpected expenditure of time and resources.</w:t>
      </w:r>
    </w:p>
    <w:p>
      <w:pPr>
        <w:spacing w:after="0" w:line="225"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From time to time, we may be involved in disputes, called upon to initiate legal proceedings or to defend ourselves in such legal proceedings relating to our business. Due to the inherent uncertainties in legal proceedings,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 Any current or future dispute resolution or legal proceeding, including without limitation the ongoing arbitration proceedings between us and each of SUL and Shionogi, regardless of the merits of any such proceeding, could result in substantial costs and a diversion of management’s attention and resources that are needed to successfully run our business.</w:t>
      </w:r>
    </w:p>
    <w:p>
      <w:pPr>
        <w:spacing w:after="0" w:line="165" w:lineRule="exact"/>
        <w:rPr>
          <w:sz w:val="20"/>
          <w:szCs w:val="20"/>
          <w:color w:val="auto"/>
        </w:rPr>
      </w:pPr>
    </w:p>
    <w:p>
      <w:pPr>
        <w:ind w:left="260" w:right="360"/>
        <w:spacing w:after="0" w:line="277"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results in personal injury or death and our product liability insurance coverage may be insufficient.</w:t>
      </w:r>
    </w:p>
    <w:p>
      <w:pPr>
        <w:spacing w:after="0" w:line="17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If the use or misuse of peramivir, forodesine or any other regulatory body-approved products we or a partner may sell in the future harms people, we may be subject to costly and damaging product liability claims brought against us by consumers, healthcare providers, pharmaceutical companies, third-party payors or others. The use of our product candidates in clinical trials, including post 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7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even greater risks upon any commercialization by us of our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93" w:lineRule="exact"/>
        <w:rPr>
          <w:sz w:val="20"/>
          <w:szCs w:val="20"/>
          <w:color w:val="auto"/>
        </w:rPr>
      </w:pPr>
    </w:p>
    <w:p>
      <w:pPr>
        <w:ind w:left="580" w:hanging="342"/>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liabilities that substantially exceed our product liability insurance, which we would then be required to pay from other sources, if available;</w:t>
      </w:r>
    </w:p>
    <w:p>
      <w:pPr>
        <w:spacing w:after="0" w:line="236" w:lineRule="exact"/>
        <w:rPr>
          <w:rFonts w:ascii="Arial" w:cs="Arial" w:eastAsia="Arial" w:hAnsi="Arial"/>
          <w:sz w:val="17"/>
          <w:szCs w:val="17"/>
          <w:color w:val="auto"/>
        </w:rPr>
      </w:pPr>
    </w:p>
    <w:p>
      <w:pPr>
        <w:ind w:left="580" w:hanging="342"/>
        <w:spacing w:after="0"/>
        <w:tabs>
          <w:tab w:leader="none" w:pos="5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of our product liability insurance rates or the inability to maintain insurance coverage in the future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ind w:left="580" w:hanging="34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our facility incurs damage or power is lost for a significant length of time, our business will suffer.</w:t>
      </w:r>
    </w:p>
    <w:p>
      <w:pPr>
        <w:spacing w:after="0" w:line="2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We store clinical and stability samples at our facility that could be damaged if our facility incurs physical damage or in the event of an extended power failure. We have backup power systems in addition to backup generators to maintain power to all critical functions, but any loss of these samples could result in significant delays in our drug development process.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significant disruption in our information technology systems or a cyber-security breach could adversely affect our business.</w:t>
      </w:r>
    </w:p>
    <w:p>
      <w:pPr>
        <w:spacing w:after="0" w:line="22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are increasingly dependent on information technology systems to operate our business. Like other companies in our industry, our networks and infrastructure may be vulnerable to cyber-attacks or intrusions, including by computer hackers, foreign governments, foreign companies or competitors, or may be breached by employee error, malfeasance or other disruption.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178" w:lineRule="exact"/>
        <w:rPr>
          <w:sz w:val="20"/>
          <w:szCs w:val="20"/>
          <w:color w:val="auto"/>
        </w:rPr>
      </w:pPr>
    </w:p>
    <w:p>
      <w:pPr>
        <w:ind w:left="260" w:right="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and commercialization of our products and the related expansion of our business will be delayed or stopped.</w:t>
      </w:r>
    </w:p>
    <w:p>
      <w:pPr>
        <w:spacing w:after="0" w:line="14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will harm our business because we rely upon these personnel for many critical functions of our business.</w:t>
      </w:r>
    </w:p>
    <w:p>
      <w:pPr>
        <w:spacing w:after="0" w:line="187" w:lineRule="exact"/>
        <w:rPr>
          <w:sz w:val="20"/>
          <w:szCs w:val="20"/>
          <w:color w:val="auto"/>
        </w:rPr>
      </w:pPr>
    </w:p>
    <w:p>
      <w:pPr>
        <w:ind w:left="260" w:right="660"/>
        <w:spacing w:after="0" w:line="277"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70"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229" w:lineRule="exact"/>
        <w:rPr>
          <w:sz w:val="20"/>
          <w:szCs w:val="20"/>
          <w:color w:val="auto"/>
        </w:rPr>
      </w:pPr>
    </w:p>
    <w:p>
      <w:pPr>
        <w:ind w:left="260" w:right="400"/>
        <w:spacing w:after="0" w:line="277"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70"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Several of our stockholders own greater than 5% of our outstanding common stock. Our top ten stockholders own more than 50% of BioCryst and can individually, and as a group, influence our operations based upon their concentrated ownership. These stockholders, if they act together, may be able to influence the outcome of matters requiring approval of the stockholders, including the election of our directors and other corporate actions.</w:t>
      </w:r>
    </w:p>
    <w:p>
      <w:pPr>
        <w:spacing w:after="0" w:line="166" w:lineRule="exact"/>
        <w:rPr>
          <w:sz w:val="20"/>
          <w:szCs w:val="20"/>
          <w:color w:val="auto"/>
        </w:rPr>
      </w:pPr>
    </w:p>
    <w:p>
      <w:pPr>
        <w:ind w:left="260" w:right="100"/>
        <w:spacing w:after="0" w:line="277"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70"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2018, the 52-week range of the market price of our stock was from $4.25 to $9.71 per share. The following factors, in addition to other risk factors described in this section, may have a significant impact on the market price of our common stock:</w:t>
      </w:r>
    </w:p>
    <w:p>
      <w:pPr>
        <w:spacing w:after="0" w:line="171" w:lineRule="exact"/>
        <w:rPr>
          <w:sz w:val="20"/>
          <w:szCs w:val="20"/>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and announcements regarding new and virulent strains of influenza;</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partners achieving or failing to achieve development milestones;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225" w:lineRule="exact"/>
        <w:rPr>
          <w:rFonts w:ascii="Arial" w:cs="Arial" w:eastAsia="Arial" w:hAnsi="Arial"/>
          <w:sz w:val="18"/>
          <w:szCs w:val="18"/>
          <w:color w:val="auto"/>
        </w:rPr>
      </w:pPr>
    </w:p>
    <w:p>
      <w:pPr>
        <w:ind w:left="580" w:hanging="34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4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Future sales of our common stock by current stockholders into the public market could cause the market price of our stock to fall. As of January 31, 2019, there were 110,176,627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ind w:right="120" w:firstLine="486"/>
        <w:spacing w:after="0" w:line="302" w:lineRule="auto"/>
        <w:rPr>
          <w:sz w:val="20"/>
          <w:szCs w:val="20"/>
          <w:color w:val="auto"/>
        </w:rPr>
      </w:pPr>
      <w:r>
        <w:rPr>
          <w:rFonts w:ascii="Arial" w:cs="Arial" w:eastAsia="Arial" w:hAnsi="Arial"/>
          <w:sz w:val="16"/>
          <w:szCs w:val="16"/>
          <w:color w:val="auto"/>
        </w:rPr>
        <w:t>As of January 31, 2019, there were 17,663,484 stock options and restricted stock units outstanding, 581,523 shares available for issuance under our Amended and Restated Stock Incentive Plan, and 187,456 shares available for issuance under our Employee Stock Purchase Plan. In addition, we could also make equity compensation grants outside of our Stock Incentive Plan. The shares underlying existing stock options, restricted stock units and possible future stock options, stock appreciation rights and stock awards have been registered pursuant to registration statements on Form S-8.</w:t>
      </w:r>
    </w:p>
    <w:p>
      <w:pPr>
        <w:spacing w:after="0" w:line="154"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If the Baker Entities, by exercising their underwriting rights or otherwise, sell a large number of our shares, or the market perceives that the Baker Entities intend to sell a large number of our shares, this could adversely affect the market price of our common stock.</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225"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Our board of directors has the authority to issue up to 4,800,000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7"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also requires supermajority approval of any amendment of these provisions. These provisions and other provisions of our by-laws and of Delaware law applicable to us could delay or make more difficult a merger, tender offer or proxy contest involving us.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have never paid cash dividends on our stock. We currently intend to retain all future earnings, if any, for use in the operation of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This filing contains forward-looking statements within the meaning of Section 21E of the Securities Exchange Act of 1934, as amended, which are subject to the “safe harbor” created in Section 21E. All statements other than statements of historical facts contained in this filing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“Business,” “Risk Factors” and “Management’s Discussion and Analysis of Financial Condition and Results of Operations,” as well as any amendments we make to those sections in filings with the SEC. These forward-looking statements include, but are not limited to, statements about:</w:t>
      </w:r>
    </w:p>
    <w:p>
      <w:pPr>
        <w:spacing w:after="0" w:line="192" w:lineRule="exact"/>
        <w:rPr>
          <w:sz w:val="20"/>
          <w:szCs w:val="20"/>
          <w:color w:val="auto"/>
        </w:rPr>
      </w:pPr>
    </w:p>
    <w:p>
      <w:pPr>
        <w:ind w:left="580" w:right="20" w:hanging="198"/>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preclinical development, clinical development, commercialization, or post-marketing studies of our product candidates and products, including our HAE program, BCX9930, peramivir, galidesivir, and early stage discovery programs;</w:t>
      </w:r>
    </w:p>
    <w:p>
      <w:pPr>
        <w:spacing w:after="0" w:line="197" w:lineRule="exact"/>
        <w:rPr>
          <w:rFonts w:ascii="Arial" w:cs="Arial" w:eastAsia="Arial" w:hAnsi="Arial"/>
          <w:sz w:val="18"/>
          <w:szCs w:val="18"/>
          <w:color w:val="auto"/>
        </w:rPr>
      </w:pPr>
    </w:p>
    <w:p>
      <w:pPr>
        <w:ind w:left="580" w:hanging="19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funding from our contracts with NIAID/HHS and BARDA/HHS for the development of galidesivir;</w:t>
      </w:r>
    </w:p>
    <w:p>
      <w:pPr>
        <w:spacing w:after="0" w:line="225" w:lineRule="exact"/>
        <w:rPr>
          <w:rFonts w:ascii="Arial" w:cs="Arial" w:eastAsia="Arial" w:hAnsi="Arial"/>
          <w:sz w:val="18"/>
          <w:szCs w:val="18"/>
          <w:color w:val="auto"/>
        </w:rPr>
      </w:pPr>
    </w:p>
    <w:p>
      <w:pPr>
        <w:ind w:left="580" w:hanging="198"/>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peramivir, additional regulatory approvals of peramivir or milestones, royalties or profit from sales of peramivir by us or our partners;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use of peramivir as a treatment for H1N1, H5N1, and H7N9 or other strains of influenza;</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 candidates;</w:t>
      </w:r>
    </w:p>
    <w:p>
      <w:pPr>
        <w:spacing w:after="0" w:line="225" w:lineRule="exact"/>
        <w:rPr>
          <w:rFonts w:ascii="Arial" w:cs="Arial" w:eastAsia="Arial" w:hAnsi="Arial"/>
          <w:sz w:val="18"/>
          <w:szCs w:val="18"/>
          <w:color w:val="auto"/>
        </w:rPr>
      </w:pPr>
    </w:p>
    <w:p>
      <w:pPr>
        <w:ind w:left="580" w:hanging="198"/>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cost and timing of any resolution of disputes and legal proceedings, including but not limited to disputes with our partners SUL and Shionogi;</w:t>
      </w:r>
    </w:p>
    <w:p>
      <w:pPr>
        <w:spacing w:after="0" w:line="170" w:lineRule="exact"/>
        <w:rPr>
          <w:rFonts w:ascii="Arial" w:cs="Arial" w:eastAsia="Arial" w:hAnsi="Arial"/>
          <w:sz w:val="18"/>
          <w:szCs w:val="18"/>
          <w:color w:val="auto"/>
        </w:rPr>
      </w:pPr>
    </w:p>
    <w:p>
      <w:pPr>
        <w:ind w:left="580" w:hanging="198"/>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plans, programs, progress and potential success of our collaborations, including SUL for peramivir, Mundipharma for Mundesine and Shionogi and Green Cross for peramivir in their territories;</w:t>
      </w:r>
    </w:p>
    <w:p>
      <w:pPr>
        <w:spacing w:after="0" w:line="170"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and MDCP’s ability to satisfy obligations under our Second Amended and Restated Senior Credit Facility;</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Royalty Sub’s ability to service its payment obligations in respect of the PhaRMA Notes;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Currency Hedge Agreement entered into by us in connection with the issuance by Royalty Sub of the PhaRMA Notes;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236" w:lineRule="exact"/>
        <w:rPr>
          <w:rFonts w:ascii="Arial" w:cs="Arial" w:eastAsia="Arial" w:hAnsi="Arial"/>
          <w:sz w:val="17"/>
          <w:szCs w:val="17"/>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estimates of our expenses, revenues, capital requirements, annual cash utilization, and our needs for additional financing;</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and approvals;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or likelihood of entering into a U.S. government stockpile order and our ability to execute any such order;</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or repay our recourse debt obligations;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comply with the covenants as set forth in the agreements governing our debt obligations;</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580" w:hanging="19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25" w:lineRule="exact"/>
        <w:rPr>
          <w:sz w:val="20"/>
          <w:szCs w:val="20"/>
          <w:color w:val="auto"/>
        </w:rPr>
      </w:pPr>
    </w:p>
    <w:p>
      <w:pPr>
        <w:ind w:firstLine="492"/>
        <w:spacing w:after="0" w:line="293" w:lineRule="auto"/>
        <w:rPr>
          <w:sz w:val="20"/>
          <w:szCs w:val="20"/>
          <w:color w:val="auto"/>
        </w:rPr>
      </w:pPr>
      <w:r>
        <w:rPr>
          <w:rFonts w:ascii="Arial" w:cs="Arial" w:eastAsia="Arial" w:hAnsi="Arial"/>
          <w:sz w:val="16"/>
          <w:szCs w:val="16"/>
          <w:color w:val="auto"/>
        </w:rPr>
        <w:t>These statements relate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“Risk Factors.” Any forward-looking statement reflects our current views with respect to future events and is subject to these and other risks, uncertainties and assumptions relating to our operations, results of operations, industry and future growth. Except as required by law, we assume no obligation to update or revise these forward-looking statements for any reason, even if new information becomes available in the future.</w:t>
      </w:r>
    </w:p>
    <w:p>
      <w:pPr>
        <w:spacing w:after="0" w:line="16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ind w:right="120" w:firstLine="492"/>
        <w:spacing w:after="0" w:line="259" w:lineRule="auto"/>
        <w:rPr>
          <w:sz w:val="20"/>
          <w:szCs w:val="20"/>
          <w:color w:val="auto"/>
        </w:rPr>
      </w:pPr>
      <w:r>
        <w:rPr>
          <w:rFonts w:ascii="Arial" w:cs="Arial" w:eastAsia="Arial" w:hAnsi="Arial"/>
          <w:sz w:val="18"/>
          <w:szCs w:val="18"/>
          <w:color w:val="auto"/>
        </w:rPr>
        <w:t>We lease property in both Durham, North Carolina and Birmingham, Alabama. Our headquarters, including our clinical and regulatory operations, are based in Durham, while our principal research facility is located in Birmingham. We currently lease approximately 30,000 square feet in Durham through December 31, 2020 and lease approximately 32,000 square feet in Birmingham through October 31, 2026. We believe that our facilities are adequate for our current and planned future operations.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159"/>
          </w:cols>
          <w:pgMar w:left="300" w:top="58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60" w:hanging="1210"/>
        <w:spacing w:after="0" w:line="277"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trades on the NASDAQ Global Select Market under the symbol BCRX.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2019, there were approximately 170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never paid cash dividends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229" w:lineRule="exact"/>
        <w:rPr>
          <w:sz w:val="20"/>
          <w:szCs w:val="20"/>
          <w:color w:val="auto"/>
        </w:rPr>
      </w:pPr>
    </w:p>
    <w:p>
      <w:pPr>
        <w:ind w:right="20" w:firstLine="492"/>
        <w:spacing w:after="0" w:line="286" w:lineRule="auto"/>
        <w:rPr>
          <w:sz w:val="20"/>
          <w:szCs w:val="20"/>
          <w:color w:val="auto"/>
        </w:rPr>
      </w:pPr>
      <w:r>
        <w:rPr>
          <w:rFonts w:ascii="Arial" w:cs="Arial" w:eastAsia="Arial" w:hAnsi="Arial"/>
          <w:sz w:val="17"/>
          <w:szCs w:val="17"/>
          <w:color w:val="auto"/>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PERFORMANCE GRAPH FOR BIOCRYST</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Indexed Comparison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165" cy="3009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Beginning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Investment</w:t>
            </w:r>
          </w:p>
        </w:tc>
        <w:tc>
          <w:tcPr>
            <w:tcW w:w="2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Investment</w:t>
            </w:r>
          </w:p>
        </w:tc>
        <w:tc>
          <w:tcPr>
            <w:tcW w:w="24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r>
      <w:tr>
        <w:trPr>
          <w:trHeight w:val="234"/>
        </w:trPr>
        <w:tc>
          <w:tcPr>
            <w:tcW w:w="3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12/31/13</w:t>
            </w:r>
          </w:p>
        </w:tc>
        <w:tc>
          <w:tcPr>
            <w:tcW w:w="2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at 12/31/14</w:t>
            </w:r>
          </w:p>
        </w:tc>
        <w:tc>
          <w:tcPr>
            <w:tcW w:w="2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at 12/31/15</w:t>
            </w:r>
          </w:p>
        </w:tc>
        <w:tc>
          <w:tcPr>
            <w:tcW w:w="2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at 12/31/16</w:t>
            </w:r>
          </w:p>
        </w:tc>
        <w:tc>
          <w:tcPr>
            <w:tcW w:w="2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at 12/31/17</w:t>
            </w:r>
          </w:p>
        </w:tc>
        <w:tc>
          <w:tcPr>
            <w:tcW w:w="2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at 12/31/18</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BioCryst Pharmaceuticals, Inc.</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135.79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106.18</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NASDAQ Stock Market (U.S.)</w:t>
            </w:r>
          </w:p>
        </w:tc>
        <w:tc>
          <w:tcPr>
            <w:tcW w:w="9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112.46</w:t>
            </w:r>
          </w:p>
        </w:tc>
        <w:tc>
          <w:tcPr>
            <w:tcW w:w="2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113.00</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127.70</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155.01</w:t>
            </w: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146.57</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Stocks</w:t>
            </w: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121.82</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128.44</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127.04</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151.33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163.67</w:t>
            </w:r>
          </w:p>
        </w:tc>
      </w:tr>
    </w:tbl>
    <w:p>
      <w:pPr>
        <w:spacing w:after="0" w:line="20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The above graph measures the change in a $100 investment in our common stock based on its closing price of $7.60 on December 31, 2013 and its year-end closing price thereafter. Our relative performance is then compared with the CRSP Total Return Indexes for the NASDAQ Stock Market (U.S.) and NASDAQ Pharmaceutical Stocks.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Recent Sales of Unregistered Securities: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repurchases of our common stock or shares surrendered to satisfy tax obligations during the fourth quarter of 2018.</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selected Statement of Operations Data and Balance Sheet data with respect to the years ended December 31, 2018, 2017, 2016, 2015 and 2014 set forth below are derived from our consolidated financial statements. The selected financial data set forth below should be read in conjunction with “Management’s Discussion and Analysis of Financial Condition and Results of Operations” contained in Item 7 below and our consolidated financial statements and the notes thereto appended to this annual report.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28"/>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6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w w:val="95"/>
              </w:rPr>
              <w:t>(In thousands, except per share amounts)</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1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20,653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25,186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26,353</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48,257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13,608</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Cost of product sold</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1,142</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2,297</w:t>
            </w:r>
          </w:p>
        </w:tc>
        <w:tc>
          <w:tcPr>
            <w:tcW w:w="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1,368</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84,888</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66,962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61,008</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72,758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51,796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29,514</w:t>
            </w:r>
          </w:p>
        </w:tc>
        <w:tc>
          <w:tcPr>
            <w:tcW w:w="40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13,933</w:t>
            </w:r>
          </w:p>
        </w:tc>
        <w:tc>
          <w:tcPr>
            <w:tcW w:w="3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11,253</w:t>
            </w:r>
          </w:p>
        </w:tc>
        <w:tc>
          <w:tcPr>
            <w:tcW w:w="4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13,047</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Royalty expense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471</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560</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528</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(94,220)</w:t>
            </w:r>
          </w:p>
        </w:tc>
        <w:tc>
          <w:tcPr>
            <w:tcW w:w="4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(57,411)</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(48,607)</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(39,444)</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(45,771)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(101,253)</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(65,782)</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(55,144)</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103,185</w:t>
            </w: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84,451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73,699</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72,901</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66,773</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10"/>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128,387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158,978</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65,122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100,858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114,038</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4,293</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6,117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8,768</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6,243</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1,649</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1,612</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146,841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178,259</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89,847</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122,359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134,238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8,184</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9,674</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Non-recourse notes payable</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29,121</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28,682</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28,243</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27,804</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27,364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Senior credit facility</w:t>
            </w:r>
          </w:p>
        </w:tc>
        <w:tc>
          <w:tcPr>
            <w:tcW w:w="30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29,952</w:t>
            </w:r>
          </w:p>
        </w:tc>
        <w:tc>
          <w:tcPr>
            <w:tcW w:w="4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23,214</w:t>
            </w:r>
          </w:p>
        </w:tc>
        <w:tc>
          <w:tcPr>
            <w:tcW w:w="4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22,777</w:t>
            </w:r>
          </w:p>
        </w:tc>
        <w:tc>
          <w:tcPr>
            <w:tcW w:w="34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(731,969)</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(631,843)</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(566,061)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(510,917)</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(467,898)</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0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49,235</w:t>
            </w:r>
          </w:p>
        </w:tc>
        <w:tc>
          <w:tcPr>
            <w:tcW w:w="4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83,767</w:t>
            </w:r>
          </w:p>
        </w:tc>
        <w:tc>
          <w:tcPr>
            <w:tcW w:w="4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1,578</w:t>
            </w:r>
          </w:p>
        </w:tc>
        <w:tc>
          <w:tcPr>
            <w:tcW w:w="34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47,724</w:t>
            </w:r>
          </w:p>
        </w:tc>
        <w:tc>
          <w:tcPr>
            <w:tcW w:w="3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75,635</w:t>
            </w:r>
          </w:p>
        </w:tc>
      </w:tr>
    </w:tbl>
    <w:p>
      <w:pPr>
        <w:spacing w:after="0" w:line="400"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i w:val="1"/>
          <w:iCs w:val="1"/>
          <w:color w:val="auto"/>
        </w:rPr>
        <w:t>This Annual Report on Form 10-K contains certain statements of a forward-looking nature relating to future events or the future financial performance of BioCryst. Such statements are only predictions and the actual events or results may differ materially from the results discussed in the forward-looking statements. Factors that could cause or contribute to such differences include those discussed below and elsewhere in this report, as well as those discussed in other filings made by BioCryst with the Securities and Exchange Commission.</w:t>
      </w:r>
    </w:p>
    <w:p>
      <w:pPr>
        <w:spacing w:after="0" w:line="18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i w:val="1"/>
          <w:iCs w:val="1"/>
          <w:color w:val="auto"/>
        </w:rPr>
        <w:t>The following Management’s Discussion and Analysis (“MD&amp;A”) is intended to help the reader understand our results of operations and financial condition. MD&amp;A is provided as a supplement to, and should be read in conjunction with, our audited financial statements and the accompanying notes to the financial statements and other disclosures included in this Annual Report on Form 10-K (including the disclosures under “Item 1A. Risk Factors”).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The discussion herein contains forward-looking statements within the meaning of Section 21E of the Securities Exchange Act of 1934, as amended (the “Exchange Act”), which are subject to the “safe harbor” created in Section 21E. Forward looking statements regarding our financial condition and our results of operations that are based upon our consolidated financial statements, which have been prepared in accordance with accounting principles generally accepted within the United States (“U.S. GAAP”), as well as projections for the future. The preparation of these financial statements requires our management to make estimates and judgments that affect the reported amounts of assets, liabilities, revenues and expenses, and related disclosure of contingent assets and liabilities. We evaluate our estimates on an ongoing basis.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w:t>
      </w:r>
    </w:p>
    <w:p>
      <w:pPr>
        <w:spacing w:after="0" w:line="17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operate in a highly competitive environment that involves a number of risks, some of which are beyond our control. We are subject to risks common to biotechnology and biopharmaceutical companies, including risks inherent in our drug discovery, drug development and commercialization efforts, clinical trials, uncertainty of regulatory actions and marketing approvals, reliance on collaborative partners, enforcement of patent and proprietary rights, the need for future capital, competition associated with products, potential competition associated with our product candidates and retention of key employees. In order for any of our product candidates to be commercialized, it will be necessary for us, or our collaborative partners, to conduct clinical trials, demonstrate efficacy and safety of the product candidate to the satisfaction of regulatory authorities, obtain marketing approval, enter into manufacturing, distribution and marketing arrangements, and obtain market acceptance and adequate reimbursement from government and private insurers. We cannot provide assurance that we will generate significant revenues or achieve and sustain profitability in the future. In addition, we can provide no assurance that we will have sufficient funding to meet our future capital requirements. Statements contained in Management’s Discussion and Analysis of Financial Condition and Results of Operations and elsewhere in this report which are not historical facts are, or may constitute, forward-looking statements. Forward-looking statements involve known and unknown risks that could cause our actual results to differ materially from expected results. The most significant known risks are discussed in the section entitled “Risk Factors.” Although we believe the expectations reflected in the forward-looking statements are reasonable, we cannot guarantee future results, levels of activity, performance or achievements. We caution you not to place undue reliance on any forward-looking statements.</w:t>
      </w:r>
    </w:p>
    <w:p>
      <w:pPr>
        <w:spacing w:after="0" w:line="17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Our revenues are difficult to predict and depend on numerous factors, including the prevalence and severity of influenza in regions for which peramivir has received regulatory approval, seasonality of influenza, commercialization efforts and resources dedicated to our products by our collaborative partners, ongoing discussions with government agencies regarding future peramivir and/or galidesivir development and stockpiling procurement,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73"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Our operating expenses are also difficult to predict and depend on several factors, including research and development expenses (and whether these expenses are reimbursable under government contracts), drug manufacturing, and clinical research activities, the ongoing requirements of our development programs, and the availability of capital and direction from regulatory agencies, which are difficult to predict. Management may be able to control the timing and level of research and development and general and administrative expenses, but many of these expenditures will occur irrespective of our actions due to contractually committed activities and/or payments.</w:t>
      </w:r>
    </w:p>
    <w:p>
      <w:pPr>
        <w:spacing w:after="0" w:line="188" w:lineRule="exact"/>
        <w:rPr>
          <w:sz w:val="20"/>
          <w:szCs w:val="20"/>
          <w:color w:val="auto"/>
        </w:rPr>
      </w:pPr>
    </w:p>
    <w:p>
      <w:pPr>
        <w:ind w:right="80" w:firstLine="486"/>
        <w:spacing w:after="0" w:line="286" w:lineRule="auto"/>
        <w:rPr>
          <w:sz w:val="20"/>
          <w:szCs w:val="20"/>
          <w:color w:val="auto"/>
        </w:rPr>
      </w:pPr>
      <w:r>
        <w:rPr>
          <w:rFonts w:ascii="Arial" w:cs="Arial" w:eastAsia="Arial" w:hAnsi="Arial"/>
          <w:sz w:val="17"/>
          <w:szCs w:val="17"/>
          <w:color w:val="auto"/>
        </w:rPr>
        <w:t>As a result of these factors, we believe that period to period comparisons are not necessarily meaningful and you should not rely on them as an indication of future performance. Due to all of the foregoing factors, it is possible that our operating results will be below the expectations of market analysts and investors. In such event, the prevailing market price of our common stock could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We are a biotechnology company that discovers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The accompanying discussion and analysis of our financial condition and results of operations are based upon our consolidated financial statements and the related disclosures, which have been prepared in accordance with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We routinely evaluate our estimates and policies regarding revenue recognition, administration, inventory and manufacturing, taxes, stock-based compensation, research and development, consulting and other expenses and any associated liabilities.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Recent Corporate Highlights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RAPIVAB/ALPIVAB/RAPIACTA/PERAMIFLU (peramivir injection)</w:t>
      </w:r>
    </w:p>
    <w:p>
      <w:pPr>
        <w:spacing w:after="0" w:line="225" w:lineRule="exact"/>
        <w:rPr>
          <w:sz w:val="20"/>
          <w:szCs w:val="20"/>
          <w:color w:val="auto"/>
        </w:rPr>
      </w:pPr>
    </w:p>
    <w:p>
      <w:pPr>
        <w:jc w:val="both"/>
        <w:ind w:right="140" w:firstLine="492"/>
        <w:spacing w:after="0" w:line="264" w:lineRule="auto"/>
        <w:rPr>
          <w:sz w:val="20"/>
          <w:szCs w:val="20"/>
          <w:color w:val="auto"/>
        </w:rPr>
      </w:pPr>
      <w:r>
        <w:rPr>
          <w:rFonts w:ascii="Arial" w:cs="Arial" w:eastAsia="Arial" w:hAnsi="Arial"/>
          <w:sz w:val="18"/>
          <w:szCs w:val="18"/>
          <w:color w:val="auto"/>
        </w:rPr>
        <w:t>In September 2018, the Centers for Disease Control and Prevention awarded us a $34.7 million contract for the procurement of up to 50,000 doses of RAPIVAB over a five year period to supply the Strategic National Stockpile for use in a public health emergency. We expect to deliver at least one shipment within the contract, totaling approximately $7.0 million, in 2019.</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BCX7353</w:t>
      </w:r>
    </w:p>
    <w:p>
      <w:pPr>
        <w:spacing w:after="0" w:line="225" w:lineRule="exact"/>
        <w:rPr>
          <w:sz w:val="20"/>
          <w:szCs w:val="20"/>
          <w:color w:val="auto"/>
        </w:rPr>
      </w:pPr>
    </w:p>
    <w:p>
      <w:pPr>
        <w:ind w:right="220" w:firstLine="492"/>
        <w:spacing w:after="0" w:line="257" w:lineRule="auto"/>
        <w:rPr>
          <w:sz w:val="20"/>
          <w:szCs w:val="20"/>
          <w:color w:val="auto"/>
        </w:rPr>
      </w:pPr>
      <w:r>
        <w:rPr>
          <w:rFonts w:ascii="Arial" w:cs="Arial" w:eastAsia="Arial" w:hAnsi="Arial"/>
          <w:sz w:val="18"/>
          <w:szCs w:val="18"/>
          <w:i w:val="1"/>
          <w:iCs w:val="1"/>
          <w:u w:val="single" w:color="auto"/>
          <w:color w:val="auto"/>
        </w:rPr>
        <w:t>APeX-2 Trial</w:t>
      </w:r>
      <w:r>
        <w:rPr>
          <w:rFonts w:ascii="Arial" w:cs="Arial" w:eastAsia="Arial" w:hAnsi="Arial"/>
          <w:sz w:val="18"/>
          <w:szCs w:val="18"/>
          <w:i w:val="1"/>
          <w:iCs w:val="1"/>
          <w:color w:val="auto"/>
        </w:rPr>
        <w:t xml:space="preserve">: </w:t>
      </w:r>
      <w:r>
        <w:rPr>
          <w:rFonts w:ascii="Arial" w:cs="Arial" w:eastAsia="Arial" w:hAnsi="Arial"/>
          <w:sz w:val="18"/>
          <w:szCs w:val="18"/>
          <w:color w:val="auto"/>
        </w:rPr>
        <w:t>APeX-2 is a Phase 3 double-blinded, placebo-controlled, three-arm clinical trial evaluating two dose levels of BCX7353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orally once-daily as a preventive treatment to reduce the frequency of attacks in patients with HAE. APeX-2 is testing once-daily BCX7353 at 110 mg and 150 mg for prevention of angioedema attacks. The trial enrolled patients with Type I and II HAE in the United States, Canada and Europe. The primary efficacy endpoint of APeX-2 is the rate of angioedema attacks over 24 weeks of study drug administration. On November 6, 2018, we announced we had completed enrollment in APeX-2 and had enrolled approximately 120 patients.</w:t>
      </w:r>
    </w:p>
    <w:p>
      <w:pPr>
        <w:spacing w:after="0" w:line="188" w:lineRule="exact"/>
        <w:rPr>
          <w:sz w:val="20"/>
          <w:szCs w:val="20"/>
          <w:color w:val="auto"/>
        </w:rPr>
      </w:pPr>
    </w:p>
    <w:p>
      <w:pPr>
        <w:ind w:right="160" w:firstLine="537"/>
        <w:spacing w:after="0" w:line="302" w:lineRule="auto"/>
        <w:rPr>
          <w:sz w:val="20"/>
          <w:szCs w:val="20"/>
          <w:color w:val="auto"/>
        </w:rPr>
      </w:pPr>
      <w:r>
        <w:rPr>
          <w:rFonts w:ascii="Arial" w:cs="Arial" w:eastAsia="Arial" w:hAnsi="Arial"/>
          <w:sz w:val="16"/>
          <w:szCs w:val="16"/>
          <w:i w:val="1"/>
          <w:iCs w:val="1"/>
          <w:u w:val="single" w:color="auto"/>
          <w:color w:val="auto"/>
        </w:rPr>
        <w:t>APeX-S Trial</w:t>
      </w:r>
      <w:r>
        <w:rPr>
          <w:rFonts w:ascii="Arial" w:cs="Arial" w:eastAsia="Arial" w:hAnsi="Arial"/>
          <w:sz w:val="16"/>
          <w:szCs w:val="16"/>
          <w:i w:val="1"/>
          <w:iCs w:val="1"/>
          <w:color w:val="auto"/>
        </w:rPr>
        <w:t xml:space="preserve">: </w:t>
      </w:r>
      <w:r>
        <w:rPr>
          <w:rFonts w:ascii="Arial" w:cs="Arial" w:eastAsia="Arial" w:hAnsi="Arial"/>
          <w:sz w:val="16"/>
          <w:szCs w:val="16"/>
          <w:color w:val="auto"/>
        </w:rPr>
        <w:t>APeX-S is a long-term safety trial evaluating two dose levels of BCX7353 administered orally once-daily as a preventive treatment in</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with HAE. APeX-S is an open label two-arm trial to evaluate the safety of once-daily BCX7353 at 110 mg and 150 mg over 48 weeks in patients with Type I and II HAE. The trial will enroll at least 160 patients. On November 6, 2018, we announced we have met the 100 subjects needed at each dose level (cumulative, summing APeX-2 and APeX-S) for regulatory requirements and expect to file a NDA in the fourth quarter of 2019.</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APeX-2 and APeX-S trials have both recently been amended to extend the duration of dosing through 96 weeks.</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u w:val="single" w:color="auto"/>
          <w:color w:val="auto"/>
        </w:rPr>
        <w:t>ZENITH-1 Trial</w:t>
      </w:r>
      <w:r>
        <w:rPr>
          <w:rFonts w:ascii="Arial" w:cs="Arial" w:eastAsia="Arial" w:hAnsi="Arial"/>
          <w:sz w:val="18"/>
          <w:szCs w:val="18"/>
          <w:color w:val="auto"/>
        </w:rPr>
        <w:t>: On August 2, 2017, we announced the dosing of the first subject into ZENITH-1, a clinical trial studying three dose levels of a liquid</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 of BCX7353 given as a single oral dose for the acute treatment of angioedema attacks in patients with HAE. ZENITH-1 is a randomized, double-blind, placebo-controlled, adaptive dose-ranging trial of the efficacy, safety and tolerability of BCX7353 for treatment of acute angioedema attacks, and enrolled subjects with Type I and II HAE. Blinded study drug was dosed as an oral liquid after onset of symptoms, for up to 3 attacks in each subject, with each subject receiving both BCX7353 (for 2 attacks) and placebo (for one attack) in a randomized sequence. The trial was structured for three consecutive cohorts testing single doses of 750 mg, 500 mg and 250 mg.</w:t>
      </w:r>
    </w:p>
    <w:p>
      <w:pPr>
        <w:spacing w:after="0" w:line="193"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On February 23, 2019, we reported topline data from the completed Phase 2 ZENITH-1 trial. Data from the complete trial confirmed previously-reported results showing a single dose of oral 750 mg BCX7353 was well-tolerated and superior to placebo (p&lt;0.05) against the majority of efficacy endpoints evaluated in HAE patients suffering an acute attack, and demonstrated a clear dose response across the three dose levels evaluated, 250 mg, 500 mg and 750 mg. With the 750 mg dose, compared to placebo, improvements in symptoms and Visual Analog Scale (“VAS”) scores were demonstrated as early as one hour after oral BCX7353 dosing (the first timepoint evaluated), and were sustained through 24 hours. Through 24 hours, standard of care (“SOC”) medication use was reduced by 31.6% after BCX7353 compared with placebo (p=0.0029), and no or mild symptoms were reported in 64.1% of attacks treated with BCX7353 compared with 32.3% of attacks treated with placebo (p=0.0038).</w:t>
      </w:r>
    </w:p>
    <w:p>
      <w:pPr>
        <w:spacing w:after="0" w:line="17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BCX7353 was generally safe and well-tolerated with no notable differentiation from the adverse event profile of placebo. The most commonly reported adverse events were diarrhea, abdominal pain, nausea, headache and nasopharyngitis. There were three discontinuations in the trial: one following a BCX7353 750 mg dose due to a transient, localized rash; one following a BCX7353 500 mg dose due to grade 2 vomiting and nausea and one following a placebo dose due to abdominal pain. With the exception of an unrelated ankle fracture, there were no grade 3 or 4 adverse events, and no grade 3 or 4 laboratory abnormalities.</w:t>
      </w:r>
    </w:p>
    <w:p>
      <w:pPr>
        <w:spacing w:after="0" w:line="188"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We met with EU National Agencies in the first quarter of 2019. Based on the results of ZENITH-1, we plan to meet with the FDA in the second quarter, and to commence a Phase 3 trial with the 750 mg dose of oral BCX7353 in the summer of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are in the process advancing BCX9930, an oral Factor D inhibitor discovered and developed by BioCryst, into Phase 1 clinical development in the second quarter of 2019 for the treatment of complement-mediated diseases. We are completing clinical drug manufacturing to support Phase 1 trials beginning in the second quarter of 2019.</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Fibrodysplasia Ossificans Progressiva (“FOP”)</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On January 5, 2018, we announced the advancement of a program exploring activin receptor-like kinase-2 (“ALK2”) inhibitors for treatment of FOP. ALK2 enzyme is a part of the normal signaling pathway for bone formation and responds to binding its specific ligands (bone morphogenic proteins, or BMPs), by stimulating normal bone growth and renewal in healthy children and adults. Specific activating mutations of the ALK2 gene are seen in all cases of FOP. An activating mutation in ALK2 is necessary for the disease to occur, making the ALK2 kinase an ideal drug target for treatment of FOP with an ALK2 kinase inhibitor. We plan to submit an Investigational New Drug Application (“IND”) for one of our optimized lead candidates, BCX9250, in the second half of 2019. BCX9250 was selected from a number of potential candidates based on potency for the target kinase, selectivity, nonclinical PK, safety screening studies, and nonclinical safety evaluations. GLP-compliant nonclinical safety pharmacology and toxicology studies required for initiation of clinical studies have been completed. We are completing clinical drug manufacturing to support Phase 1 trials beginning in the second half of 2019, and clinical trials in patients with FOP in 2020.</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112"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i w:val="1"/>
          <w:iCs w:val="1"/>
          <w:color w:val="auto"/>
        </w:rPr>
        <w:t>Galidesivir (formerly BCX4430)</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September 17, 2018, we announced that NIAID/HHS had awarded us an additional $3.5 million under our existing contract to support and conduct clinical trials of galidesivir in patients with Yellow Fever. We are in the process of initiating an exploratory Phase 2 clinical trial evaluating galidesivir in Yellow Fever patients in Brazil, with the trial expected to begin in 2019. As of December 31, 2018, the total NIAID/HHS contract amount is $43.0 million. The galidesivir BARDA/HHS contract has a potential value of $39.1 million if all contract options are exercised. As of December 31, 2018, a total of $20.6 million has been awarded under exercised options within this contract.</w:t>
      </w:r>
    </w:p>
    <w:p>
      <w:pPr>
        <w:spacing w:after="0" w:line="188"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On January 2, 2019, we announced the dosing of the first subject in a randomized, placebo-controlled phase 1 clinical trial to evaluate intravenous galidesivir in healthy volunteers. The main goals of this trial are to evaluate the safety, tolerability and pharmacokinetics of escalating intravenous doses of galidesivir in healthy subjects. Up to four single-dose cohorts will be evaluated with a total of up to 32 volunteers participating.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Modified Secured Credit Facility</w:t>
      </w:r>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February 6, 2019, we entered into a $100.0 million secured credit facility (the “Second Amended and Restated Senior Credit Facility”) with MidCap Financial as administrative agent and lender (“MidCap”), pursuant to the terms and conditions of that certain Second Amended and Restated Credit and Security Agreement, dated as of February 6, 2019 (the “Credit Agreement”). The Second Amended and Restated Senior Credit Facility will be available in three tranches, with (i) the first tranche comprised of $50.0 million funded at closing of the Credit Agreement, which included $30.0 million of proceeds that were deemed rolled over from the outstanding principal amount under the prior Amended and Restated Senior Credit Facility dated as of July 20, 2018 (the “Amended and Restated Senior Credit Facility”), (ii) the second tranche to be comprised of $30.0 million, and (iii) the third tranche to be comprised of $20.0 million, with the second and third tranches to be funded upon the completion of certain contingencies related to our development activities and the establishment of certain financial covenants. The Second Amended and Restated Senior Credit Facility refinanced and replaced our prior Amended and Restated Senior Credit Facility dated as of July 20, 2018. The Second Amended and Restated Senior Credit Facility bears a variable interest rate of LIBOR (which shall not be less than 0.5%) plus 8%. The Second Amended and Restated Senior Credit Facility includes an interest-only payment period through June 2020 and scheduled monthly principal and interest payments for the subsequent 30 months. We used a portion of the proceeds of the Second Amended and Restated Senior Credit Facility to pay off outstanding amounts under our prior Amended and Restated Senior Credit Facility and the remainder will be used for general corporate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 Compared to 2017</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Total 2018 revenues decreased to $20.7 million as compared to 2017 revenues of $25.2 million. The decrease in 2018 revenue was primarily due to infrequent revenue events that occurred in 2017 that did not recur in 2018, as well as a decrease of revenue from galidesivir development under U.S. Government contracts in 2018. Revenues in 2018 included $5.9 million of royalty revenue from SUL, Shionogi and Green Cross associated with sales of peramivir in the United States, Japan and Korea, $2.6 million of reimbursement of collaborative expenses from NIAID/HHS and BARDA/HHS under U.S. Government development contracts and $12.0 million associated with milestone revenue and collaborative revenue from corporate partnerships. Revenues in 2017 included $1.5 million of peramivir product revenue from inventory sales to our commercial partners, $10.5 million of royalty revenue from SUL, Shionogi and Green Cross associated with sales of peramivir in the United States, Japan, Korea and Taiwan, $4.7 million of reimbursement of collaborative expenses from NIAID/HHS and BARDA/HHS development contracts and $8.5 million associated with milestone revenue and collaborative revenue amortization from other corporate partnerships. Our future RAPIVAB revenue will be difficult to predict because of volatility in prevalence, timing and severity of influenza season to season as well as variable commercialization efforts and resources dedicated to our products by our collaborative partners. Because there are no future remaining milestones under the SUL collaboration, we expect future collaborative and other research and development revenue to be recognized at lower levels than in prior years.</w:t>
      </w:r>
    </w:p>
    <w:p>
      <w:pPr>
        <w:spacing w:after="0" w:line="180"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Research and Development (“R&amp;D”) expenses increased to $84.9 million in 2018 from $67.0 million in 2017. The increase in 2018 R&amp;D expenses, as compared to 2017, was primarily due to increased spending on our HAE and preclinical programs. These increases were partially offset by a decrease in our peramivir and galidesivir development spending in 2018. As we continue the ongoing APeX-2, APeX-S and APeX-J clinical trials, progress the BCX7353 acute program, and progress our BCX9930 and BCX9250 programs into the clinic and later-stage efficacy trials, we expect our future R&amp;D expenses to increase.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5" w:name="page46"/>
    <w:bookmarkEnd w:id="45"/>
    <w:p>
      <w:pPr>
        <w:ind w:left="500"/>
        <w:spacing w:after="0"/>
        <w:rPr>
          <w:sz w:val="20"/>
          <w:szCs w:val="20"/>
          <w:color w:val="auto"/>
        </w:rPr>
      </w:pPr>
      <w:r>
        <w:rPr>
          <w:rFonts w:ascii="Arial" w:cs="Arial" w:eastAsia="Arial" w:hAnsi="Arial"/>
          <w:sz w:val="18"/>
          <w:szCs w:val="18"/>
          <w:color w:val="auto"/>
        </w:rPr>
        <w:t>The following table summarizes our R&amp;D expenses for the periods indicated (amounts are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R&amp;D expenses by program:</w:t>
            </w:r>
          </w:p>
        </w:tc>
        <w:tc>
          <w:tcPr>
            <w:tcW w:w="10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BCX7353</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w w:val="87"/>
              </w:rPr>
              <w:t>53,993</w:t>
            </w:r>
          </w:p>
        </w:tc>
        <w:tc>
          <w:tcPr>
            <w:tcW w:w="108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40,974</w:t>
            </w:r>
          </w:p>
        </w:tc>
        <w:tc>
          <w:tcPr>
            <w:tcW w:w="10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21,410</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BCX9930</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10,189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FOP</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Galidesivir</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9,458</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Peramivir</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4,872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5,552</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2nd generation HAE compounds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1,139</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Avoralstat</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13,433</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7,114</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10,016</w:t>
            </w: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color w:val="auto"/>
              </w:rPr>
              <w:t>Total R&amp;D expenses</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84,888</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7"/>
              </w:rPr>
              <w:t>66,962</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61,008</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92"/>
        <w:spacing w:after="0" w:line="271" w:lineRule="auto"/>
        <w:rPr>
          <w:sz w:val="20"/>
          <w:szCs w:val="20"/>
          <w:color w:val="auto"/>
        </w:rPr>
      </w:pPr>
      <w:r>
        <w:rPr>
          <w:rFonts w:ascii="Arial" w:cs="Arial" w:eastAsia="Arial" w:hAnsi="Arial"/>
          <w:sz w:val="17"/>
          <w:szCs w:val="17"/>
          <w:color w:val="auto"/>
        </w:rPr>
        <w:t>R&amp;D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R&amp;D personnel and costs of outside parties to conduct laboratory studies, develop manufacturing processes, manufacture the product candidates, conduct and manage clinical trials, as well as other costs related to our clinical and preclinical studies. Indirect R&amp;D expenses consist of lab supplies and services, facility expenses, depreciation of development equipment and other overhead of our research and development efforts. R&amp;D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spacing w:after="0" w:line="179" w:lineRule="exact"/>
        <w:rPr>
          <w:sz w:val="20"/>
          <w:szCs w:val="20"/>
          <w:color w:val="auto"/>
        </w:rPr>
      </w:pPr>
    </w:p>
    <w:p>
      <w:pPr>
        <w:ind w:right="280" w:firstLine="492"/>
        <w:spacing w:after="0" w:line="259" w:lineRule="auto"/>
        <w:rPr>
          <w:sz w:val="20"/>
          <w:szCs w:val="20"/>
          <w:color w:val="auto"/>
        </w:rPr>
      </w:pPr>
      <w:r>
        <w:rPr>
          <w:rFonts w:ascii="Arial" w:cs="Arial" w:eastAsia="Arial" w:hAnsi="Arial"/>
          <w:sz w:val="18"/>
          <w:szCs w:val="18"/>
          <w:color w:val="auto"/>
        </w:rPr>
        <w:t>General and administrative (“G&amp;A”) expenses increased to $29.5 million in 2018 compared to $13.9 million in 2017. The increase of $15.6 million was primarily due to approximately $11 million of merger-related costs associated with our terminated merger with Idera and a $4.9 million reserve for collectability of the EMA approval milestone of peramivir. We do not expect to incur any future merger-related expenses; however, we do anticipate our G&amp;A expenses to increase as we near the commercial launch of BCX7353.</w:t>
      </w:r>
    </w:p>
    <w:p>
      <w:pPr>
        <w:spacing w:after="0" w:line="187" w:lineRule="exact"/>
        <w:rPr>
          <w:sz w:val="20"/>
          <w:szCs w:val="20"/>
          <w:color w:val="auto"/>
        </w:rPr>
      </w:pPr>
    </w:p>
    <w:p>
      <w:pPr>
        <w:ind w:right="20" w:firstLine="492"/>
        <w:spacing w:after="0" w:line="268" w:lineRule="auto"/>
        <w:rPr>
          <w:sz w:val="20"/>
          <w:szCs w:val="20"/>
          <w:color w:val="auto"/>
        </w:rPr>
      </w:pPr>
      <w:r>
        <w:rPr>
          <w:rFonts w:ascii="Arial" w:cs="Arial" w:eastAsia="Arial" w:hAnsi="Arial"/>
          <w:sz w:val="17"/>
          <w:szCs w:val="17"/>
          <w:color w:val="auto"/>
        </w:rPr>
        <w:t>Interest expense, which is related to the non-recourse notes issued in conjunction with the non-dilutive RAPIACTA royalty monetization transaction in March 2011 and borrowings under our secured credit facility with MidCap Financial (“MidCap”), pursuant to the terms and conditions of that certain Amended and Restated Credit and Security Agreement, dated as of July 20, 2018 (the “Amended and Restated Senior Credit Facility”), increased to $9.2 million in 2018 as compared to $8.6 million in 2017. In addition, a mark to market loss of $1.0 million was recognized in 2018 related to the foreign currency hedge entered into in conjunction with the royalty monetization transaction, compared to a mark to market loss of $1.8 million in 2017, both resulting from changes in the U.S. dollar/Japanese yen exchange rate during the respective years. In addition, realized currency exchange gains of $0.9 million and $1.0 million were recognized in 2018 and 2017, respectively, related to the exercise of a U.S. dollar/Japanese yen currency option under our foreign currency hedge. We entered into a foreign currency hedge agreement to hedge changes in the value of the Japanese yen relative to the U.S. dollar associated with the RAPIACTA royalty monetization. The currency hedge does not qualify for hedge accounting treatment and therefore mark to market adjustments are recognized in our Consolidated Statements of Comprehensive Loss. Although we cannot predict the future yen/dollar exchange rate, the applicable foreign currency rates moved such that we currently have no collateral posted; however, it is possible that collateral will be required to be posted in the future. We are unable to predict future changes in the yen/dollar exchange rate or increases/decreases in our hedge gains/losses associated with the currency hedge agreement. With the Second Amended and Restated Senior Credit Facility, our debt balances have increased in 2019, as compared to 2018, so we expect 2019 interest expense to increase from 2018 levels.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2016</w:t>
      </w:r>
    </w:p>
    <w:p>
      <w:pPr>
        <w:spacing w:after="0" w:line="225"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Total 2017 revenues decreased to $25.2 million as compared to 2016 revenues of $26.4 million. The decrease in 2017 revenue was primarily due to lower collaborative revenue under U.S. Government development contracts as well as lower revenue from product sales to corporate partners. These decreases were largely offset by $7.0 million of milestone payments associated with U.S. pediatric and Canadian regulatory approvals of RAPIVAB. Revenues in 2017 included $1.5 million of peramivir product revenue from inventory sales to our commercial partners, $10.5 million of royalty revenue from SUL, Shionogi and Green Cross associated with sales of peramivir in the United States, Japan, Korea and Taiwan, $4.7 million of reimbursement of collaborative expenses from NIAID/HHS and BARDA/HHS development contracts and $8.5 million associated with milestone revenue and collaborative revenue amortization from other corporate partnerships. Revenues in 2016 included $2.3 million of peramivir product revenue from inventory sales to our commercial partners, $9.7 million of royalty revenue from SUL, Shionogi and Green Cross associated with sales of peramivir in the United States, Japan, Korea and Taiwan, $9.5 million of reimbursement of collaborative expenses from NIAID/HHS and BARDA/HHS related to the development of galidesivir, $2.9 million of reimbursement of collaborative expenses from BARDA/HHS related to the development of RAPIVAB and $1.8 million associated with collaborative revenue amortization from other corporate partnerships.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right="20" w:firstLine="492"/>
        <w:spacing w:after="0" w:line="257" w:lineRule="auto"/>
        <w:rPr>
          <w:sz w:val="20"/>
          <w:szCs w:val="20"/>
          <w:color w:val="auto"/>
        </w:rPr>
      </w:pPr>
      <w:r>
        <w:rPr>
          <w:rFonts w:ascii="Arial" w:cs="Arial" w:eastAsia="Arial" w:hAnsi="Arial"/>
          <w:sz w:val="18"/>
          <w:szCs w:val="18"/>
          <w:color w:val="auto"/>
        </w:rPr>
        <w:t>R&amp;D expenses increased to $67.0 million in 2017 from $61.0 million in 2016. The increase in 2017 R&amp;D expenses, as compared to 2016, reflects increased spending on our HAE program partially associated with the achievement of a performance-based stock option grant related to the successful completion of the APeX-1 clinical trial, as well as an increase in R&amp;D personnel. In addition, there was a higher level of preclinical development effort and expense dedicated to our two preclinical programs, including our FOP program than in previous years. These increases were somewhat offset by a decrease in galidesivir expenses under U.S. Government development contracts.</w:t>
      </w:r>
    </w:p>
    <w:p>
      <w:pPr>
        <w:spacing w:after="0" w:line="188" w:lineRule="exact"/>
        <w:rPr>
          <w:sz w:val="20"/>
          <w:szCs w:val="20"/>
          <w:color w:val="auto"/>
        </w:rPr>
      </w:pPr>
    </w:p>
    <w:p>
      <w:pPr>
        <w:jc w:val="both"/>
        <w:ind w:right="280" w:firstLine="492"/>
        <w:spacing w:after="0" w:line="264" w:lineRule="auto"/>
        <w:rPr>
          <w:sz w:val="20"/>
          <w:szCs w:val="20"/>
          <w:color w:val="auto"/>
        </w:rPr>
      </w:pPr>
      <w:r>
        <w:rPr>
          <w:rFonts w:ascii="Arial" w:cs="Arial" w:eastAsia="Arial" w:hAnsi="Arial"/>
          <w:sz w:val="18"/>
          <w:szCs w:val="18"/>
          <w:color w:val="auto"/>
        </w:rPr>
        <w:t>G&amp;A expenses increased to $13.9 million in 2017 compared to $11.3 million in 2016. The increase of $2.6 million was due to the achievement of a performance-based stock option grant related to the successful completion of the APeX-1 clinical trial as well as business development and merger-related costs associated with our combination with Idera.</w:t>
      </w:r>
    </w:p>
    <w:p>
      <w:pPr>
        <w:spacing w:after="0" w:line="181"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Interest expense increased to $8.6 million in 2017 primarily associated with our execution of a $23.0 million Senior Credit Facility with an affiliate of MidCap in September 2016 (the “Senior Credit Facility”), as compared to $6.5 million in 2016. In addition, a mark to market loss of $1.8 million was recognized in 2017 related to the foreign currency hedge entered into in conjunction with the royalty monetization transaction, compared to a mark to market loss of $1.7 million in 2016, both resulting from changes in the U.S. dollar/Japanese yen exchange rate during the respective years. In addition, realized currency exchange gains of $1.0 million and $0.8 million were recognized in 2017 and 2016, respectively, related to the exercise of a U.S. dollar/Japanese yen currency option under our foreign currency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color w:val="auto"/>
        </w:rPr>
        <w:t>Cash expenditures have exceeded revenues since our inception and we expect our 2019 operating expenses to exceed our 2019 revenues. Our operations have principally been funded through public offerings and private placements of equity securities; cash from collaborative and other research and development agreements, including U.S. Government contracts for RAPIVAB and galidesivir; and to a lesser extent, the PhaRMA Notes financing and the Senior Credit Facility, the Amended and Restated Credit Facility, and the Second Amended and Restated Credit Facility (defined below). To date, we have been awarded a BARDA/HHS RAPIVAB development contract totaling $234.8 million, which expired on June 30, 2014, a NIAID/HHS galidesivir development contract totaling $43.0 million, which is ongoing, and a BARDA/HHS galidesivir development contract totaling $39.1 million, which is also ongoing. The total amount of NIAID/HHS and BARDA/HHS galidesivir funding obligated under awarded options is $43.0 million and $20.6 million, respectively. We may issue securities through private placement transactions or registered public offerings pursuant to a registration statement filed with the SEC. In addition to the above, we have received funding from other sources, including other collaborative and other research and development agreements; government grants; equipment lease financing; facility leases; research grants; and interest income on our investments.</w:t>
      </w:r>
    </w:p>
    <w:p>
      <w:pPr>
        <w:spacing w:after="0" w:line="16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As of December 31, 2018, we had net working capital of $44.9 million, a decrease of approximately $5.7 million from $50.6 million at December 31, 2017. The decrease in working capital was principally due to our normal operating expenses associated with the development of our product candidates and costs incurred for the terminated merger with Idera, partially offset by proceeds from the Amended and Restated Senior Credit Facility and the August 2018 public offering of our common stock. Our principal sources of liquidity at December 31, 2018 were approximately $26.7 million in cash and cash equivalents and approximately $100.1 million in investments considered available-for-sale. On February 6, 2019, we replaced our prior $30 million Amended and Restated Senior Credit Facility with our Second Amended and Restated Senior Credit Facility. The Second Amended and Restated Senior Credit Facility provides $20 million of immediate additional non-dilutive capital and an interest-only payment period through June 2020, both of which extend our cash runway and provide us the financial flexibility to draw another $50 million of milestone-based non-dilutive capital at our option upon meeting future contingencies. We anticipate our cash and investments will fund our operations into 2020.</w:t>
      </w:r>
    </w:p>
    <w:p>
      <w:pPr>
        <w:spacing w:after="0" w:line="182" w:lineRule="exact"/>
        <w:rPr>
          <w:sz w:val="20"/>
          <w:szCs w:val="20"/>
          <w:color w:val="auto"/>
        </w:rPr>
      </w:pPr>
    </w:p>
    <w:p>
      <w:pPr>
        <w:ind w:right="160" w:firstLine="531"/>
        <w:spacing w:after="0" w:line="272" w:lineRule="auto"/>
        <w:rPr>
          <w:sz w:val="20"/>
          <w:szCs w:val="20"/>
          <w:color w:val="auto"/>
        </w:rPr>
      </w:pPr>
      <w:r>
        <w:rPr>
          <w:rFonts w:ascii="Arial" w:cs="Arial" w:eastAsia="Arial" w:hAnsi="Arial"/>
          <w:sz w:val="17"/>
          <w:szCs w:val="17"/>
          <w:color w:val="auto"/>
        </w:rPr>
        <w:t>On February 6, 2019, we entered into the Second Amended and Restated Senior Credit Facility with MidCap pursuant to the terms and conditions of the Credit Agreement. The Second Amended and Restated Senior Credit Facility will be available in three tranches, with (i) the first tranche comprised of $50.0 million funded at closing of the Credit Agreement, which included $30.0 million of proceeds that were deemed rolled over from the outstanding principal amount under the prior Amended and Restated Senior Credit Facility, (ii) the second tranche to be comprised of $30.0 million, and (iii) the third tranche to be comprised of $20.0 million, with the second and third tranches to be funded upon the completion of certain contingencies related to our development activities and the establishment of certain financial covenants. The Second Amended and Restated Senior Credit Facility refinanced and replaced our prior Amended and Restated Senior Credit Facility.</w:t>
      </w:r>
    </w:p>
    <w:p>
      <w:pPr>
        <w:spacing w:after="0" w:line="17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intend to contain costs and cash flow requirements by closely managing our third party costs and headcount, leasing scientific equipment and facilities, contracting with other parties to conduct certain research and development projects and using consultants. We expect to incur additional expenses, potentially resulting in significant losses, as we continue to pursue our research and development activities and begin to build a commercial infrastructure.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maintaining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ind w:left="50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225" w:lineRule="exact"/>
        <w:rPr>
          <w:sz w:val="20"/>
          <w:szCs w:val="20"/>
          <w:color w:val="auto"/>
        </w:rPr>
      </w:pPr>
    </w:p>
    <w:p>
      <w:pPr>
        <w:ind w:left="920" w:hanging="33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lease or loan financing and future public or private equity financing;</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existing capital resources and interest earned on that capital;</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payments under existing and executing new contracts with the U.S. Government; and</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payments under collaborative and licensing agreements with corporate partners.</w:t>
      </w:r>
    </w:p>
    <w:p>
      <w:pPr>
        <w:spacing w:after="0" w:line="225"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As our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will consume significant capital resources and will increase our expenses. Our expenses, revenues and cash utilization rate could vary significantly depending on many factors, including our ability to raise additional capital, the development progress of our collaborative agreements for our product candidates, the amount and timing of funding we receive from existing U.S. Government contracts for galidesivir, the amount of funding or assistance, if any, we receive from new U.S. Government contracts or other new partnerships with third parties for the development and or commercialization of our product candidates, the progress and results of our current and proposed clinical trials for our most advanced product candidates, the progress made in the manufacturing of our lead product candidates and the progression of our other programs.</w:t>
      </w:r>
    </w:p>
    <w:p>
      <w:pPr>
        <w:spacing w:after="0" w:line="179" w:lineRule="exact"/>
        <w:rPr>
          <w:sz w:val="20"/>
          <w:szCs w:val="20"/>
          <w:color w:val="auto"/>
        </w:rPr>
      </w:pPr>
    </w:p>
    <w:p>
      <w:pPr>
        <w:ind w:right="40" w:firstLine="492"/>
        <w:spacing w:after="0" w:line="284" w:lineRule="auto"/>
        <w:rPr>
          <w:sz w:val="20"/>
          <w:szCs w:val="20"/>
          <w:color w:val="auto"/>
        </w:rPr>
      </w:pPr>
      <w:r>
        <w:rPr>
          <w:rFonts w:ascii="Arial" w:cs="Arial" w:eastAsia="Arial" w:hAnsi="Arial"/>
          <w:sz w:val="16"/>
          <w:szCs w:val="16"/>
          <w:color w:val="auto"/>
        </w:rPr>
        <w:t>With the funds available at December 31, 2018 and the Second Amended and Restated Senior Credit Facility, we believe our financial resources will be sufficient to fund our operations into 2020. We have sustained operating losses for the majority of our corporate history and expect that our 2019 expenses will exceed our 2019 revenues. We expect to continue to incur operating losses and negative cash flows until revenues reach a level sufficient to support ongoing operations. Accordingly, our planned operations raise doubt about our ability to continue as a going concern through 2020. Our liquidity needs will be largely determined by the success of operations in regards to the progression of our product candidates in the future. We also may consider other plans to fund operations through 2020 including: (1) securing or increasing U.S. Government funding of our programs, including obtaining procurement contracts;</w:t>
      </w:r>
    </w:p>
    <w:p>
      <w:pPr>
        <w:spacing w:after="0" w:line="5" w:lineRule="exact"/>
        <w:rPr>
          <w:sz w:val="20"/>
          <w:szCs w:val="20"/>
          <w:color w:val="auto"/>
        </w:rPr>
      </w:pPr>
    </w:p>
    <w:p>
      <w:pPr>
        <w:ind w:firstLine="8"/>
        <w:spacing w:after="0" w:line="281" w:lineRule="auto"/>
        <w:tabs>
          <w:tab w:leader="none" w:pos="2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out-licensing rights to certain of our products or product candidates, pursuant to which the we would receive cash milestones; (3) raising additional capital through equity or debt financings or from other sources; (4) obtaining additional product candidate regulatory approvals, which would generate revenue, milestones and cash flow; (5) reducing spending on one or more research and development programs, including by discontinuing development; and/or</w:t>
      </w:r>
    </w:p>
    <w:p>
      <w:pPr>
        <w:spacing w:after="0" w:line="2" w:lineRule="exact"/>
        <w:rPr>
          <w:rFonts w:ascii="Arial" w:cs="Arial" w:eastAsia="Arial" w:hAnsi="Arial"/>
          <w:sz w:val="16"/>
          <w:szCs w:val="16"/>
          <w:color w:val="auto"/>
        </w:rPr>
      </w:pPr>
    </w:p>
    <w:p>
      <w:pPr>
        <w:ind w:right="20" w:firstLine="8"/>
        <w:spacing w:after="0" w:line="302" w:lineRule="auto"/>
        <w:tabs>
          <w:tab w:leader="none" w:pos="255"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 operations to change our overhead structure. We may issue securities, including common stock, preferred stock, depositary shares, stock purchase contracts, warrants and units, through private placement transactions or registered public offerings. Our future liquidity needs, and ability to address those needs, will largely be determined by the success of our product candidates and key development and regulatory events and our decisions in the future.</w:t>
      </w:r>
    </w:p>
    <w:p>
      <w:pPr>
        <w:spacing w:after="0" w:line="1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225" w:lineRule="exact"/>
        <w:rPr>
          <w:sz w:val="20"/>
          <w:szCs w:val="20"/>
          <w:color w:val="auto"/>
        </w:rPr>
      </w:pPr>
    </w:p>
    <w:p>
      <w:pPr>
        <w:ind w:left="940" w:hanging="351"/>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perform under our government contracts and receive reimbursement, and receive stockpiling procurement contracts;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magnitude of work under our government contracts;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existing collaborative relationships or government contracts;</w:t>
      </w:r>
    </w:p>
    <w:p>
      <w:pPr>
        <w:spacing w:after="0" w:line="225" w:lineRule="exact"/>
        <w:rPr>
          <w:rFonts w:ascii="Arial" w:cs="Arial" w:eastAsia="Arial" w:hAnsi="Arial"/>
          <w:sz w:val="18"/>
          <w:szCs w:val="18"/>
          <w:color w:val="auto"/>
        </w:rPr>
      </w:pPr>
    </w:p>
    <w:p>
      <w:pPr>
        <w:ind w:left="940" w:right="600" w:hanging="351"/>
        <w:spacing w:after="0" w:line="277"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spacing w:after="0" w:line="170" w:lineRule="exact"/>
        <w:rPr>
          <w:rFonts w:ascii="Arial" w:cs="Arial" w:eastAsia="Arial" w:hAnsi="Arial"/>
          <w:sz w:val="18"/>
          <w:szCs w:val="18"/>
          <w:color w:val="auto"/>
        </w:rPr>
      </w:pPr>
    </w:p>
    <w:p>
      <w:pPr>
        <w:ind w:left="940" w:right="240" w:hanging="351"/>
        <w:spacing w:after="0" w:line="277"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our partners, including governmental agencies, will share in the costs associated with the development of our programs or run the development programs themselves;</w:t>
      </w:r>
    </w:p>
    <w:p>
      <w:pPr>
        <w:spacing w:after="0" w:line="170" w:lineRule="exact"/>
        <w:rPr>
          <w:rFonts w:ascii="Arial" w:cs="Arial" w:eastAsia="Arial" w:hAnsi="Arial"/>
          <w:sz w:val="18"/>
          <w:szCs w:val="18"/>
          <w:color w:val="auto"/>
        </w:rPr>
      </w:pPr>
    </w:p>
    <w:p>
      <w:pPr>
        <w:ind w:left="940" w:right="180" w:hanging="351"/>
        <w:spacing w:after="0" w:line="277" w:lineRule="auto"/>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 candidates or a decision to build or expand internal development and commercial capabilities;</w:t>
      </w:r>
    </w:p>
    <w:p>
      <w:pPr>
        <w:spacing w:after="0" w:line="170" w:lineRule="exact"/>
        <w:rPr>
          <w:rFonts w:ascii="Arial" w:cs="Arial" w:eastAsia="Arial" w:hAnsi="Arial"/>
          <w:sz w:val="18"/>
          <w:szCs w:val="18"/>
          <w:color w:val="auto"/>
        </w:rPr>
      </w:pPr>
    </w:p>
    <w:p>
      <w:pPr>
        <w:ind w:left="940" w:hanging="351"/>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commercialization of marketed products by either us or a partner;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48" w:name="page49"/>
    <w:bookmarkEnd w:id="48"/>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manufacturing of our product candidates to support our preclinical research and clinical trials;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personnel and related costs to support the development and commercialization of our product candidates;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scope of manufacturing of our drug substance and product candidates required for future NDA filings;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post-approval commitments for RAPIVAB and other products that receive regulatory approval; and</w:t>
      </w:r>
    </w:p>
    <w:p>
      <w:pPr>
        <w:spacing w:after="0" w:line="225" w:lineRule="exact"/>
        <w:rPr>
          <w:rFonts w:ascii="Arial" w:cs="Arial" w:eastAsia="Arial" w:hAnsi="Arial"/>
          <w:sz w:val="18"/>
          <w:szCs w:val="18"/>
          <w:color w:val="auto"/>
        </w:rPr>
      </w:pPr>
    </w:p>
    <w:p>
      <w:pPr>
        <w:ind w:left="940" w:right="380" w:hanging="351"/>
        <w:spacing w:after="0" w:line="277" w:lineRule="auto"/>
        <w:tabs>
          <w:tab w:leader="none" w:pos="9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expect that we will be required to raise additional capital to complete the development and commercialization of our current product candidates and we may seek to raise capital in the future. Additional funding, whether through additional sales of equity or debt securities, collaborative or other arrangements with corporate partners or from other sources, including governmental agencies in general and existing government contracts specifically, may not be available when needed or on terms acceptable to us. The issuance of preferred or common stock or convertible securities, with terms and prices significantly more favorable than those of the currently outstanding common stock, could have the effect of diluting or adversely affecting the holdings or rights of our existing stockholders. In addition, collaborative arrangements may require us to transfer certain material rights to such corporate partners. Insufficient funds may require us to delay, scale back or eliminate certain of our research and development programs. Our future working capital requirements, including the need for additional working capital, will be largely determined by the advancement of our portfolio of product candidates as well as rate of reimbursement by U.S. Government agencies of our galidesivir expenses and any future decisions regarding the future of the RAPIVAB and galidesivir programs,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and the level of required administrative support for our daily operations.</w:t>
      </w:r>
    </w:p>
    <w:p>
      <w:pPr>
        <w:spacing w:after="0" w:line="172"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restrictive covenants contained in the Second Amended and Restated Senior Credit Facility could cause us to be unable to pursue business opportunities that we or our stockholders may consider beneficial without the lender’s permission or without repaying all Second Amended and Restated Senior Credit Facility obligations. These covenants limit our ability to, among other things, convey, sell, lease, license, transfer or otherwise dispose of certain parts of our business or property; change the nature of our business; liquidate or dissolve; enter into certain change in control or acquisition transactions; incur or assume certain debt; grant certain types of liens on our assets; modify, liquidate or transfer assets in certain collateral accounts; pay dividends or make certain distributions to our stockholders; make certain investments; enter into material transactions with affiliates; and modify existing debt or collaboration arrangements. A breach of any of these covenants could result in an event of default under the Second Amended and Restated Senior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2019</w:t>
      </w:r>
    </w:p>
    <w:p>
      <w:pPr>
        <w:spacing w:after="0" w:line="22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Based upon our development plans, expected operations and our awarded government contracts, we expect 2019 operating cash usage to be in the range of $105 to $130 million, and expect our total 2019 operating expenses to be in the range of $120 to $145 million. Our operating expense range excludes equity-based compensation expense due to the difficulty in accurately projecting this expense as it is significantly impacted by the volatility and price of our stock, as well as vesting of our outstanding performance-based stock options. Our operating cash forecast excludes any impact of our royalty monetization, hedge collateral posted or returned, and any other non-routine cash outflows or inflows. Our ability to remain within our operating expense and operating cash target ranges is subject to multiple factors, including unanticipated or additional general development and administrative costs and other factors described under the Risk Factors located elsewhere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we are not involved in any unconsolidated entities or off–balance sheet arrangements.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the table below, we set forth our enforceable and legally binding obligations and future commitments and obligations related to all contracts that we are likely to continue regardless of the fact that they are cancelable as of December 31, 2018. Some of the amounts we include in this table are based on management’s estimates and assumptions about these obligations, including their duration, the possibility of renewal, anticipated actions by third parties, and other factors. Because these estimates and assumptions are necessarily subjective, the obligations we will actually pay in future periods may vary from those reflected in the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rPr>
              <w:t>Payments Due by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(In thousands)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Less Than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More Than</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1-3 Years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3-5 Years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5 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Purchase obligations(1)</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51,719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51,719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license obligations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Non-recourse notes payable(2)</w:t>
            </w:r>
          </w:p>
        </w:tc>
        <w:tc>
          <w:tcPr>
            <w:tcW w:w="3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36,715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7,987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144,676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76,951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Purchase obligations include commitments related to clinical development, manufacturing and research operations and other purchase commitments.</w:t>
      </w:r>
    </w:p>
    <w:p>
      <w:pPr>
        <w:spacing w:after="0" w:line="46" w:lineRule="exact"/>
        <w:rPr>
          <w:rFonts w:ascii="Arial" w:cs="Arial" w:eastAsia="Arial" w:hAnsi="Arial"/>
          <w:sz w:val="16"/>
          <w:szCs w:val="16"/>
          <w:color w:val="auto"/>
        </w:rPr>
      </w:pPr>
    </w:p>
    <w:p>
      <w:pPr>
        <w:ind w:left="460" w:right="14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Assumes the PhaRMA Notes will be repaid at maturity and the related interest costs will accrue and be paid annually through maturity. This assumption is based on the unpredictable nature of the royalty payments from Shionogi, which are designated for both principal and interest payments on the PhaRMA Notes.</w:t>
      </w:r>
    </w:p>
    <w:p>
      <w:pPr>
        <w:spacing w:after="0" w:line="19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Under the Currency Hedge Agreement, we have the right to purchase dollars and sell yen at a rate of 100 yen per dollar for which we may be required to pay a premium in each year from 2019 through 2020. A payment of $2.0 million will be required if, during the relevant year, the dollar is worth 100 yen or less. As of December 31, 2018, we have no hedge collateral posted against the Currency Hedge Agreement. Because the posting of additional collateral and payment of annual premiums is contingent on the value of the yen relative to the dollar and other factors, such payments have been excluded from the foregoing table.</w:t>
      </w:r>
    </w:p>
    <w:p>
      <w:pPr>
        <w:spacing w:after="0" w:line="18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to the above, we have committed to make potential future “sublicense” payments to third-parties as part of in-licensing and development programs. Payments under these agreements generally become due and payable only upon achievement of certain developmental, regulatory and/or commercial milestones. Because the achievement of these milestones is neither probable nor reasonably estimable, such contingencies have not been recorded on our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178"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While our significant accounting policies are more fully described in Note 1 to our consolidated financial statements included in this Annual Report on Form 10-K for the year ended December 31, 2018,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Our inventories consist of peramivir finished goods and work in process, which are valued at the lower of cost or net realizable value using the first-in, first-out (i.e., FIFO) method. Cost includes materials, labor, overhead, shipping and handling costs. 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In connection with the FDA approval of RAPIVAB and other regulatory approvals, we began capitalizing costs associated with the production of peramivir inventories.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92" w:lineRule="exact"/>
        <w:rPr>
          <w:sz w:val="20"/>
          <w:szCs w:val="20"/>
          <w:color w:val="auto"/>
        </w:rPr>
      </w:pPr>
    </w:p>
    <w:p>
      <w:pPr>
        <w:ind w:left="1160" w:hanging="80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1160" w:hanging="80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1160" w:hanging="801"/>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fees paid to contract manufacturers in connection with the production of our raw materials, drug substance and product candidates; and</w:t>
      </w:r>
    </w:p>
    <w:p>
      <w:pPr>
        <w:spacing w:after="0" w:line="236" w:lineRule="exact"/>
        <w:rPr>
          <w:rFonts w:ascii="Arial" w:cs="Arial" w:eastAsia="Arial" w:hAnsi="Arial"/>
          <w:sz w:val="17"/>
          <w:szCs w:val="17"/>
          <w:color w:val="auto"/>
        </w:rPr>
      </w:pPr>
    </w:p>
    <w:p>
      <w:pPr>
        <w:ind w:left="1160" w:hanging="80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adopted the provisions of ASC 606 as of January 1, 2018 using the modified retrospective method as applied to contracts that were not completed as of that date. As a result, financial information for reporting periods beginning after January 1, 2018 are presented under ASC 606, while comparative financial information has not been adjusted and continues to be reported in accordance with our historical accounting policy for revenue recognition prior to the adoption of ASC 606.</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 Our primary sources of revenue are license, service, royalty and product sale revenues from these collaborative and other research and development arrangements.</w:t>
      </w:r>
    </w:p>
    <w:p>
      <w:pPr>
        <w:spacing w:after="0" w:line="181" w:lineRule="exact"/>
        <w:rPr>
          <w:sz w:val="20"/>
          <w:szCs w:val="20"/>
          <w:color w:val="auto"/>
        </w:rPr>
      </w:pPr>
    </w:p>
    <w:p>
      <w:pPr>
        <w:jc w:val="both"/>
        <w:ind w:right="260" w:firstLine="486"/>
        <w:spacing w:after="0" w:line="264"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8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Analyzing the arrangement to identify performance obligations requires the use of judgment, and each may be an obligation to deliver services, a right or license to use an asset, or another performance obligation.</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1" w:name="page52"/>
    <w:bookmarkEnd w:id="51"/>
    <w:p>
      <w:pPr>
        <w:jc w:val="both"/>
        <w:ind w:right="140" w:firstLine="486"/>
        <w:spacing w:after="0" w:line="264"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8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187"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We recognize revenue for sales of RAPIVAB when the customer obtains control of the product, which generally occurs on the date of shipment to our specialty distributors, utilizing the Sell-In revenue recognition methodology. Product sales are recognized net of estimated allowances, discounts, sales returns, chargebacks and rebates. In the United States, prior to the SUL Agreement, we sold RAPIVAB to specialty distributors, who in turn, sell to physician offices, hospitals and federal, state and commercial health care organizations. With the completion of the SUL worldwide license of RAPIVAB, SUL will be responsible for sales of RAPIVAB, other than U.S. Government stockpiling sales. With the completion of the SUL collaboration, all peramivir sales (i.e., RAPIVAB, ALPIVAB, RAPIACTA, and PERAMIFLU) will be made by our partners, except for U.S. Government stockpiling sales and sales to our partners, and we will be reliant on these partners to generate sales.</w:t>
      </w:r>
    </w:p>
    <w:p>
      <w:pPr>
        <w:spacing w:after="0" w:line="17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Sales deductions consist of statutory rebates to state Medicaid, Medicare and other government agencies and sales discounts (including trade discounts and distribution service fees). These deductions are recorded as reductions from revenue from RAPIVAB in the same period as the related sales with estimates of future utilization derived from historical experience adjusted to reflect known changes in the factors that impact such reserves.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70"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i w:val="1"/>
          <w:iCs w:val="1"/>
          <w:u w:val="single" w:color="auto"/>
          <w:color w:val="auto"/>
        </w:rPr>
        <w:t>Contract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Our long-term contracts are billed as work progresses in accordance with the contract terms and conditions, either at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intervals or upon achievement of certain milestones. Often this results in billing occurring subsequent to revenue recognition, resulting in contract assets. Contract assets are generally classified as current assets in the Consolidated Balance Sheets.</w:t>
      </w:r>
    </w:p>
    <w:p>
      <w:pPr>
        <w:spacing w:after="0" w:line="181" w:lineRule="exact"/>
        <w:rPr>
          <w:sz w:val="20"/>
          <w:szCs w:val="20"/>
          <w:color w:val="auto"/>
        </w:rPr>
      </w:pPr>
    </w:p>
    <w:p>
      <w:pPr>
        <w:jc w:val="both"/>
        <w:ind w:right="260" w:firstLine="486"/>
        <w:spacing w:after="0" w:line="342" w:lineRule="auto"/>
        <w:rPr>
          <w:sz w:val="20"/>
          <w:szCs w:val="20"/>
          <w:color w:val="auto"/>
        </w:rPr>
      </w:pPr>
      <w:r>
        <w:rPr>
          <w:rFonts w:ascii="Arial" w:cs="Arial" w:eastAsia="Arial" w:hAnsi="Arial"/>
          <w:sz w:val="16"/>
          <w:szCs w:val="16"/>
          <w:i w:val="1"/>
          <w:iCs w:val="1"/>
          <w:u w:val="single" w:color="auto"/>
          <w:color w:val="auto"/>
        </w:rPr>
        <w:t>Contract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We often receive cash payments from customers in advance of our performance, resulting in contract liabilities. These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classified as either current or long-term in the Consolidated Balance Sheets based on the timing of when we expect to recognize the revenue.</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Contract Costs</w:t>
      </w:r>
    </w:p>
    <w:p>
      <w:pPr>
        <w:spacing w:after="0" w:line="225"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We may incur direct and indirect costs associated with obtaining a contract. Incremental contract costs that we expect to recover are capitalized and amortized over the expected term of the contract. Non-incremental contract costs and costs that we expect to recover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2" w:name="page53"/>
    <w:bookmarkEnd w:id="52"/>
    <w:p>
      <w:pPr>
        <w:ind w:right="40" w:firstLine="486"/>
        <w:spacing w:after="0" w:line="259" w:lineRule="auto"/>
        <w:rPr>
          <w:sz w:val="20"/>
          <w:szCs w:val="20"/>
          <w:color w:val="auto"/>
        </w:rPr>
      </w:pPr>
      <w:r>
        <w:rPr>
          <w:rFonts w:ascii="Arial" w:cs="Arial" w:eastAsia="Arial" w:hAnsi="Arial"/>
          <w:sz w:val="18"/>
          <w:szCs w:val="18"/>
          <w:color w:val="auto"/>
        </w:rPr>
        <w:t>Additionally, we have license agreements with third parties, such as the Albert Einstein College of Medicine of Yeshiva University, Industrial Research, Ltd. and the University of Alabama at Birmingham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8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71" w:lineRule="exact"/>
        <w:rPr>
          <w:sz w:val="20"/>
          <w:szCs w:val="20"/>
          <w:color w:val="auto"/>
        </w:rPr>
      </w:pPr>
    </w:p>
    <w:p>
      <w:pPr>
        <w:jc w:val="both"/>
        <w:ind w:right="160" w:firstLine="486"/>
        <w:spacing w:after="0" w:line="288"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These costs are accumulated and tracked by active program.</w:t>
      </w:r>
    </w:p>
    <w:p>
      <w:pPr>
        <w:ind w:right="480"/>
        <w:spacing w:after="0" w:line="261" w:lineRule="auto"/>
        <w:rPr>
          <w:sz w:val="20"/>
          <w:szCs w:val="20"/>
          <w:color w:val="auto"/>
        </w:rPr>
      </w:pPr>
      <w:r>
        <w:rPr>
          <w:rFonts w:ascii="Arial" w:cs="Arial" w:eastAsia="Arial" w:hAnsi="Arial"/>
          <w:sz w:val="18"/>
          <w:szCs w:val="18"/>
          <w:color w:val="auto"/>
        </w:rPr>
        <w:t>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225"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In connection with our issuance of the PhaRMA Notes, we entered into a foreign Currency Hedge Agreement to hedge certain risks associated with changes in the value of the Japanese yen relative to the U.S. dollar. Under the Currency Hedge Agreement, we have the right to purchase dollars and sell yen at a rate of 100 yen per dollar for which we may be required to pay a premium in each year from 2019 through 2020, provided the Currency Hedge Agreement remains in effect. A payment of $2.0 million will be required if, on May 18 of the relevant year, the U.S. dollar is worth 100 yen or less as determined in accordance with the Currency Hedge Agreement. In conjunction with establishing the Currency Hedge Agreement, we will be required to post collateral to the counterparty, which may cause us to experience additional quarterly volatility in our financial results. We will not be required at any time to post collateral exceeding the maximum premium payments remaining payable under the Currency Hedge Agreement. As of December 31, 2018, the maximum amount of hedge collateral we may be required to post is $3.9 million.</w:t>
      </w:r>
    </w:p>
    <w:p>
      <w:pPr>
        <w:spacing w:after="0" w:line="17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Currency Hedge Agreement does not qualify for hedge accounting treatment and therefore mark to market adjustments will be recognized in our Consolidated Statements of Comprehensive Loss. Mark to market adjustments are determined by quoted prices in markets that are not actively traded and for which significant inputs are observable directly or indirectly, representing the Level 2 in the fair value hierarchy as defined by generally accepted accounting principles (“U.S. GAAP”). We are also required to post collateral in connection with the mark to market adjustments based on defined thresholds. As of December 31, 2018, no collateral was posted under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right="20" w:firstLine="486"/>
        <w:spacing w:after="0" w:line="297" w:lineRule="auto"/>
        <w:rPr>
          <w:sz w:val="20"/>
          <w:szCs w:val="20"/>
          <w:color w:val="auto"/>
        </w:rPr>
      </w:pPr>
      <w:r>
        <w:rPr>
          <w:rFonts w:ascii="Arial" w:cs="Arial" w:eastAsia="Arial" w:hAnsi="Arial"/>
          <w:sz w:val="16"/>
          <w:szCs w:val="16"/>
          <w:color w:val="auto"/>
        </w:rPr>
        <w:t>In December 2017, the Tax Cuts and Jobs Act (“TCJA”), was signed into law. Among other things, the TCJA permanently lowers the corporate federal income tax rate to 21% from the existing maximum rate of 35%, effective for tax years including or commencing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As of December 31, 2018, we have completed our accounting of the tax effects from the enactment of the TCJA. No changes were made to the provisional amounts previously recorded.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do not believe that our operating results have been materially impacted by inflation during the past three years. However, we cannot be assured that our operating results will not be adversely affected by inflation in the future. We will continually seek to mitigate the adverse effects of inflation on the services that we use through improved operating efficiencies and cost containment initiatives.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Note 12 to the Consolidated Financial Statements included in Item 8 of this Annual Report on Form 10-K discusses accounting pronouncements recently issued or proposed but not yet required to be adopted.</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We are subject to interest rate risk on our investment portfolio and borrowings under our fixed-interest rate PhaRMA Notes and our variable-interest rate Second Amended and Restated Senior Credit Facility. The interest rate applicable to our borrowings under the PhaRMA Notes is fixed at 14.0% and the Second Amended and Restated Senior Credit Facility bears a floating interest rate based on LIBOR. Increases in interest rates could therefore increase the associated interest payments that we are required to make on the Senior Credit Facility. As of December 31, 2018, our Amended and Restated Senior Credit Facility had an interest rate of 10.3%.</w:t>
      </w:r>
    </w:p>
    <w:p>
      <w:pPr>
        <w:spacing w:after="0" w:line="188" w:lineRule="exact"/>
        <w:rPr>
          <w:sz w:val="20"/>
          <w:szCs w:val="20"/>
          <w:color w:val="auto"/>
        </w:rPr>
      </w:pPr>
    </w:p>
    <w:p>
      <w:pPr>
        <w:ind w:right="20" w:firstLine="492"/>
        <w:spacing w:after="0" w:line="276" w:lineRule="auto"/>
        <w:rPr>
          <w:sz w:val="20"/>
          <w:szCs w:val="20"/>
          <w:color w:val="auto"/>
        </w:rPr>
      </w:pPr>
      <w:r>
        <w:rPr>
          <w:rFonts w:ascii="Arial" w:cs="Arial" w:eastAsia="Arial" w:hAnsi="Arial"/>
          <w:sz w:val="17"/>
          <w:szCs w:val="17"/>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73"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73" w:lineRule="exact"/>
        <w:rPr>
          <w:sz w:val="20"/>
          <w:szCs w:val="20"/>
          <w:color w:val="auto"/>
        </w:rPr>
      </w:pPr>
    </w:p>
    <w:p>
      <w:pPr>
        <w:ind w:right="520" w:firstLine="486"/>
        <w:spacing w:after="0" w:line="342"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The majority of our transactions occur in U.S. dollars and we do not have significant operating subsidiaries or significant investments in foreign countries. Therefore, we are not subject to significant foreign currency exchange risk in our normal operations.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connection with the issuance by Royalty Sub of the PhaRMA Notes, we entered into a Currency Hedge Agreement to hedge certain risks associated with changes in the value of the Japanese yen relative to the U.S. dollar. Under the Currency Hedge Agreement, we are required to post collateral based on our potential obligations under the Currency Hedge Agreement as determined by periodic mark to market adjustments. Provided the Currency Hedge Agreement remains in effect, we may be required to pay an annual premium in the amount of $2.0 million from May 2019 through May 2020. Such payment will be required if, in May of the relevant year, the spot rate of exchange for Japanese yen-U.S. dollars (determined in accordance with the Currency Hedge Agreement) is such that the U.S. dollar is worth 100 yen or less. As of December 31, 2018, the maximum amount of hedge collateral we may be required to post is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11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688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880" w:type="dxa"/>
            <w:vAlign w:val="bottom"/>
          </w:tcPr>
          <w:p>
            <w:pPr>
              <w:jc w:val="center"/>
              <w:ind w:left="2130"/>
              <w:spacing w:after="0"/>
              <w:rPr>
                <w:sz w:val="20"/>
                <w:szCs w:val="20"/>
                <w:color w:val="auto"/>
              </w:rPr>
            </w:pPr>
            <w:r>
              <w:rPr>
                <w:rFonts w:ascii="Arial" w:cs="Arial" w:eastAsia="Arial" w:hAnsi="Arial"/>
                <w:sz w:val="18"/>
                <w:szCs w:val="18"/>
                <w:b w:val="1"/>
                <w:bCs w:val="1"/>
                <w:color w:val="auto"/>
              </w:rPr>
              <w:t>BIOCRYST PHARMACEUTICALS, INC.</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880" w:type="dxa"/>
            <w:vAlign w:val="bottom"/>
          </w:tcPr>
          <w:p>
            <w:pPr>
              <w:jc w:val="center"/>
              <w:ind w:left="2150"/>
              <w:spacing w:after="0"/>
              <w:rPr>
                <w:sz w:val="20"/>
                <w:szCs w:val="20"/>
                <w:color w:val="auto"/>
              </w:rPr>
            </w:pPr>
            <w:r>
              <w:rPr>
                <w:rFonts w:ascii="Arial" w:cs="Arial" w:eastAsia="Arial" w:hAnsi="Arial"/>
                <w:sz w:val="18"/>
                <w:szCs w:val="18"/>
                <w:b w:val="1"/>
                <w:bCs w:val="1"/>
                <w:color w:val="auto"/>
                <w:w w:val="99"/>
              </w:rPr>
              <w:t>CONSOLIDATED BALANCE SHEETS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88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80" w:type="dxa"/>
            <w:vAlign w:val="bottom"/>
            <w:vMerge w:val="restart"/>
          </w:tcPr>
          <w:p>
            <w:pPr>
              <w:jc w:val="center"/>
              <w:ind w:right="109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26,731</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50,282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91"/>
              </w:rPr>
              <w:t>Restricted cash</w:t>
            </w:r>
          </w:p>
        </w:tc>
        <w:tc>
          <w:tcPr>
            <w:tcW w:w="6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77,736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64,115</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Receivables from collaborations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collaboration expense</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0"/>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114,352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125,391</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41,295</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63"/>
        </w:trPr>
        <w:tc>
          <w:tcPr>
            <w:tcW w:w="1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8"/>
              </w:rPr>
              <w:t>Total assets</w:t>
            </w:r>
          </w:p>
        </w:tc>
        <w:tc>
          <w:tcPr>
            <w:tcW w:w="6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146,841</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178,259</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spacing w:after="0"/>
              <w:rPr>
                <w:sz w:val="17"/>
                <w:szCs w:val="17"/>
                <w:color w:val="auto"/>
              </w:rPr>
            </w:pPr>
          </w:p>
        </w:tc>
        <w:tc>
          <w:tcPr>
            <w:tcW w:w="6880" w:type="dxa"/>
            <w:vAlign w:val="bottom"/>
            <w:shd w:val="clear" w:color="auto" w:fill="CCEEFF"/>
          </w:tcPr>
          <w:p>
            <w:pPr>
              <w:jc w:val="center"/>
              <w:ind w:right="111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18"/>
                <w:szCs w:val="18"/>
                <w:color w:val="auto"/>
              </w:rPr>
            </w:pP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Interest payable</w:t>
            </w:r>
          </w:p>
        </w:tc>
        <w:tc>
          <w:tcPr>
            <w:tcW w:w="6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11,848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12,095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collaboration revenue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8,484</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Lease financing obligation</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Non-recourse notes payable</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29,121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28,682</w:t>
            </w:r>
          </w:p>
        </w:tc>
        <w:tc>
          <w:tcPr>
            <w:tcW w:w="0" w:type="dxa"/>
            <w:vAlign w:val="bottom"/>
          </w:tcPr>
          <w:p>
            <w:pPr>
              <w:spacing w:after="0"/>
              <w:rPr>
                <w:sz w:val="1"/>
                <w:szCs w:val="1"/>
                <w:color w:val="auto"/>
              </w:rPr>
            </w:pPr>
          </w:p>
        </w:tc>
      </w:tr>
      <w:tr>
        <w:trPr>
          <w:trHeight w:val="210"/>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69,477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Deferred rent</w:t>
            </w:r>
          </w:p>
        </w:tc>
        <w:tc>
          <w:tcPr>
            <w:tcW w:w="6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financing obligation</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Senior credit facility</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25,372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Preferred stock, $0.001 par value; shares authorized — 5,000; no shares outstanding</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$0.01 par value; shares authorized — 200,000; shares issued and outstanding — 110,063 at</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31, 2018 and 98,411 at December 31, 2017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780,400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714,869</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deficit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(731,969)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(631,843)</w:t>
            </w:r>
          </w:p>
        </w:tc>
        <w:tc>
          <w:tcPr>
            <w:tcW w:w="0" w:type="dxa"/>
            <w:vAlign w:val="bottom"/>
          </w:tcPr>
          <w:p>
            <w:pPr>
              <w:spacing w:after="0"/>
              <w:rPr>
                <w:sz w:val="1"/>
                <w:szCs w:val="1"/>
                <w:color w:val="auto"/>
              </w:rPr>
            </w:pPr>
          </w:p>
        </w:tc>
      </w:tr>
      <w:tr>
        <w:trPr>
          <w:trHeight w:val="210"/>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49,235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83,767</w:t>
            </w:r>
          </w:p>
        </w:tc>
        <w:tc>
          <w:tcPr>
            <w:tcW w:w="0" w:type="dxa"/>
            <w:vAlign w:val="bottom"/>
          </w:tcPr>
          <w:p>
            <w:pPr>
              <w:spacing w:after="0"/>
              <w:rPr>
                <w:sz w:val="1"/>
                <w:szCs w:val="1"/>
                <w:color w:val="auto"/>
              </w:rPr>
            </w:pPr>
          </w:p>
        </w:tc>
      </w:tr>
      <w:tr>
        <w:trPr>
          <w:trHeight w:val="223"/>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146,841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178,259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1,501</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Collaborative and other research and development</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14,552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20,653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products sold</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84,888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29,514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Royalty</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114,873</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74,960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Loss on foreign currency derivative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(101,252)</w:t>
            </w:r>
          </w:p>
        </w:tc>
        <w:tc>
          <w:tcPr>
            <w:tcW w:w="12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(65,782)</w:t>
            </w:r>
          </w:p>
        </w:tc>
        <w:tc>
          <w:tcPr>
            <w:tcW w:w="10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available for sale investments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(101,306)</w:t>
            </w:r>
          </w:p>
        </w:tc>
        <w:tc>
          <w:tcPr>
            <w:tcW w:w="1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(66,013)</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(54,950)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(0.98)</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440" w:type="dxa"/>
            <w:vAlign w:val="bottom"/>
            <w:gridSpan w:val="2"/>
          </w:tcPr>
          <w:p>
            <w:pPr>
              <w:jc w:val="right"/>
              <w:ind w:right="185"/>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b w:val="1"/>
                <w:bCs w:val="1"/>
                <w:color w:val="auto"/>
              </w:rPr>
              <w:t>103,185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b w:val="1"/>
                <w:bCs w:val="1"/>
                <w:color w:val="auto"/>
              </w:rPr>
              <w:t>84,451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rPr>
              <w:t>73,699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7" w:name="page58"/>
    <w:bookmarkEnd w:id="57"/>
    <w:p>
      <w:pPr>
        <w:jc w:val="center"/>
        <w:ind w:right="-219"/>
        <w:spacing w:after="0"/>
        <w:rPr>
          <w:sz w:val="20"/>
          <w:szCs w:val="20"/>
          <w:color w:val="auto"/>
        </w:rPr>
      </w:pPr>
      <w:r>
        <w:rPr>
          <w:rFonts w:ascii="Arial" w:cs="Arial" w:eastAsia="Arial" w:hAnsi="Arial"/>
          <w:sz w:val="18"/>
          <w:szCs w:val="18"/>
          <w:b w:val="1"/>
          <w:bCs w:val="1"/>
          <w:color w:val="auto"/>
        </w:rPr>
        <w:t>BIOCRYST PHARMACEUTICALS,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(101,252)</w:t>
            </w:r>
          </w:p>
        </w:tc>
        <w:tc>
          <w:tcPr>
            <w:tcW w:w="4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(65,782)</w:t>
            </w:r>
          </w:p>
        </w:tc>
        <w:tc>
          <w:tcPr>
            <w:tcW w:w="10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(55,144)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(gain) on disposal of property and equipment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9,396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8,487</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Amortization of premium/discount on investments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523</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foreign currency derivative</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1,112</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Deferred collaboration expense</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Interest payable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2,244</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(92,565)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(41,143)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(53,438)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(5,277)</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(62,614)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(107,787)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(14,106)</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67,748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42,652</w:t>
            </w:r>
          </w:p>
        </w:tc>
      </w:tr>
      <w:tr>
        <w:trPr>
          <w:trHeight w:val="210"/>
        </w:trPr>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4,768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(64,642)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23,273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Sale of common stock, net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53,400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proceeds from common stock issued under stock-based compensation plans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Proceeds from senior credit facility</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22,658</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senior credit facility</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(Decrease) increase in lease financing obligation</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r>
      <w:tr>
        <w:trPr>
          <w:trHeight w:val="21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62,504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135,703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23,304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(Decrease) increase in cash, cash equivalents and restricted cash</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29,918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(6,861)</w:t>
            </w: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53,568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30,511</w:t>
            </w:r>
          </w:p>
        </w:tc>
      </w:tr>
      <w:tr>
        <w:trPr>
          <w:trHeight w:val="223"/>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28,275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53,568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23,650</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Common</w:t>
            </w:r>
          </w:p>
        </w:tc>
        <w:tc>
          <w:tcPr>
            <w:tcW w:w="1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Stock</w:t>
            </w:r>
          </w:p>
        </w:tc>
        <w:tc>
          <w:tcPr>
            <w:tcW w:w="18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Capital</w:t>
            </w:r>
          </w:p>
        </w:tc>
        <w:tc>
          <w:tcPr>
            <w:tcW w:w="10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(Loss) Income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Deficit</w:t>
            </w:r>
          </w:p>
        </w:tc>
        <w:tc>
          <w:tcPr>
            <w:tcW w:w="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Equity (Deficit)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558,113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(510,917)</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(55,144)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 351 shares, net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Employee stock purchase plan sales, 75 shares,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8,487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2016</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566,913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(566,061)</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609 shares,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8"/>
              </w:rPr>
              <w:t>Employee stock purchase plan sales, 95 shares, net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23,925 shares,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133,761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714,869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(631,843)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4"/>
              </w:rPr>
              <w:t>Impact to retained earnings from adoption of ASC 606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(101,252)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 1,106 shares, net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2,490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8"/>
              </w:rPr>
              <w:t>Employee stock purchase plan sales, 92 shares, net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Issuance of common stock, 10,455 shares, net</w:t>
            </w:r>
          </w:p>
        </w:tc>
        <w:tc>
          <w:tcPr>
            <w:tcW w:w="22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53,295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780,400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(731,969)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49,235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 and Concentrations of Risk</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00" w:firstLine="486"/>
        <w:spacing w:after="0" w:line="297" w:lineRule="auto"/>
        <w:rPr>
          <w:sz w:val="20"/>
          <w:szCs w:val="20"/>
          <w:color w:val="auto"/>
        </w:rPr>
      </w:pPr>
      <w:r>
        <w:rPr>
          <w:rFonts w:ascii="Arial" w:cs="Arial" w:eastAsia="Arial" w:hAnsi="Arial"/>
          <w:sz w:val="16"/>
          <w:szCs w:val="16"/>
          <w:color w:val="auto"/>
        </w:rPr>
        <w:t>BioCryst Pharmaceuticals, Inc. (the “Company”) is a biotechnology company that discovers novel, oral, small-molecule medicines. The Company focuses on the treatment of rare diseases in which significant unmet medical needs exist and an enzyme plays the key role in the biological pathway of the disease. The Company was incorporated in Delaware in 1986 and its headquarters is located in Durham, North Carolina. The Company integrates the disciplines of biology, crystallography, medicinal chemistry and computer modeling to discover and develop small molecule pharmaceuticals through the process known as structure-guided drug design. BioCryst has incurred losses and negative cash flows from operations since inception.</w:t>
      </w:r>
    </w:p>
    <w:p>
      <w:pPr>
        <w:spacing w:after="0" w:line="15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With the funds available at December 31, 2018, the Company believes these resources will be sufficient to fund its operations into 2020. The Company has sustained operating losses for the majority of its corporate history and expects that its 2019 expenses will exceed its 2019 revenues. The Company expects to continue to incur operating losses and negative cash flows until revenues reach a level sufficient to support ongoing operations. Accordingly, its planned operations raise doubt about its ability to continue as a going concern through 2020. The Company’s liquidity needs will be largely determined by the success of operations in regards to the progression of its product candidates in the future. The Company also may consider other plans to fund operations through</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2020 including: (1) securing or increasing U.S. Government funding of its programs, including obtaining procurement contracts; (2) out-licensing rights to certain of its products or product candidates, pursuant to which the Company would receive cash milestones; (3) raising additional capital through equity or debt financings or from other sources; (4) obtaining additional product candidate regulatory approvals, which would generate revenue, milestones and cash flow; (5) reducing spending on one or more research and development programs, including by discontinuing development; and/or (6) restructuring operations to change its overhead structure. The Company may issue securities, including common stock, preferred stock, depositary shares, stock purchase contracts, warrants and units, through private placement transactions or registered public offerings in the future. The Company’s future liquidity needs, and ability to address those needs, will largely be determined by the success of its product candidates and key development and regulatory events and its decisions in the future.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The consolidated financial statements include the accounts of the Company and its wholly-owned subsidiaries, JPR Royalty Sub LLC (“Royalty Sub”) and MDCP, LLC (“MDCP”). Both subsidiaries were formed to facilitate financing transactions for the Company. Royalty Sub was formed in connection with a $30,000 financing transaction the Company completed on March 9, 2011. See Note 3, Royalty Monetization, for a further description of this transaction.</w:t>
      </w:r>
    </w:p>
    <w:p>
      <w:pPr>
        <w:ind w:right="140"/>
        <w:spacing w:after="0" w:line="255" w:lineRule="auto"/>
        <w:rPr>
          <w:sz w:val="20"/>
          <w:szCs w:val="20"/>
          <w:color w:val="auto"/>
        </w:rPr>
      </w:pPr>
      <w:r>
        <w:rPr>
          <w:rFonts w:ascii="Arial" w:cs="Arial" w:eastAsia="Arial" w:hAnsi="Arial"/>
          <w:sz w:val="18"/>
          <w:szCs w:val="18"/>
          <w:color w:val="auto"/>
        </w:rPr>
        <w:t>MDCP was formed in connection with a $23,000 senior credit facility that the Company closed on September 23, 2016 and subsequently amended and restated on each of July 20, 2018 and February 6, 2019. See Notes 4 and 13 for a further description of these transactions. All intercompany transactions and balances have been eliminated.</w:t>
      </w:r>
    </w:p>
    <w:p>
      <w:pPr>
        <w:spacing w:after="0" w:line="19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Restricted cash as of December 31, 2018 reflects $131 in royalty revenue paid by Shionogi &amp; Co., Ltd. (“Shionogi”) designated for interest on the PhaRMA Notes (defined in Note 3) and $1,413 the Company is required to maintain as collateral for a letter of credit associated with the lease execution and build-out of its new Birmingham research facilities.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municipal and corporate notes and bonds, commercial paper and asset or mortgage-backed securities, among others. The Company’s investment policy requires it to purchase high-quality marketable securities with a maximum individual maturity of three years and requires an average portfolio maturity of no more than 18 months. Some of the securities the Company invests in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ectPr>
          <w:pgSz w:w="11900" w:h="16838" w:orient="portrait"/>
          <w:cols w:equalWidth="0" w:num="1">
            <w:col w:w="11420"/>
          </w:cols>
          <w:pgMar w:left="240" w:top="337" w:right="239" w:bottom="5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514" w:gutter="0" w:footer="0" w:header="0"/>
          <w:type w:val="continuous"/>
        </w:sectPr>
      </w:pPr>
    </w:p>
    <w:bookmarkStart w:id="60" w:name="page61"/>
    <w:bookmarkEnd w:id="60"/>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2018, the Company believes that the cost of its investments is recoverable in all material respects.</w:t>
      </w:r>
    </w:p>
    <w:p>
      <w:pPr>
        <w:spacing w:after="0" w:line="182"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U.S. Government and its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debt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U.S. Government and its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debt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50,613</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176</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50,673</w:t>
            </w:r>
          </w:p>
        </w:tc>
      </w:tr>
      <w:tr>
        <w:trPr>
          <w:trHeight w:val="230"/>
        </w:trPr>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45,793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45,880</w:t>
            </w:r>
          </w:p>
        </w:tc>
      </w:tr>
      <w:tr>
        <w:trPr>
          <w:trHeight w:val="230"/>
        </w:trPr>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3,559</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99,965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100,112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642"/>
        </w:trPr>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 2017</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1"/>
        </w:trPr>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24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Gains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60,121</w:t>
            </w:r>
          </w:p>
        </w:tc>
        <w:tc>
          <w:tcPr>
            <w:tcW w:w="120" w:type="dxa"/>
            <w:vAlign w:val="bottom"/>
          </w:tcPr>
          <w:p>
            <w:pPr>
              <w:spacing w:after="0"/>
              <w:rPr>
                <w:sz w:val="16"/>
                <w:szCs w:val="16"/>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177</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w:t>
            </w:r>
          </w:p>
        </w:tc>
        <w:tc>
          <w:tcPr>
            <w:tcW w:w="12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60,176</w:t>
            </w:r>
          </w:p>
        </w:tc>
      </w:tr>
      <w:tr>
        <w:trPr>
          <w:trHeight w:val="230"/>
        </w:trPr>
        <w:tc>
          <w:tcPr>
            <w:tcW w:w="20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34,116</w:t>
            </w:r>
          </w:p>
        </w:tc>
      </w:tr>
      <w:tr>
        <w:trPr>
          <w:trHeight w:val="230"/>
        </w:trPr>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11,099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11,118</w:t>
            </w:r>
          </w:p>
        </w:tc>
      </w:tr>
      <w:tr>
        <w:trPr>
          <w:trHeight w:val="22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105,241</w:t>
            </w: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gridSpan w:val="2"/>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105,410</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-2057400</wp:posOffset>
            </wp:positionV>
            <wp:extent cx="72466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-1774825</wp:posOffset>
            </wp:positionV>
            <wp:extent cx="72466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-608330</wp:posOffset>
            </wp:positionV>
            <wp:extent cx="72466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40" w:space="580"/>
            <w:col w:w="7300"/>
          </w:cols>
          <w:pgMar w:left="240" w:top="337" w:right="239" w:bottom="1440" w:gutter="0" w:footer="0" w:header="0"/>
          <w:type w:val="continuous"/>
        </w:sectPr>
      </w:pPr>
    </w:p>
    <w:p>
      <w:pPr>
        <w:spacing w:after="0" w:line="2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scheduled maturity for the Company’s investments at December 31, 2018 and 2017.</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CCEEFF"/>
            </w:tcBorders>
          </w:tcPr>
          <w:p>
            <w:pPr>
              <w:spacing w:after="0"/>
              <w:rPr>
                <w:sz w:val="20"/>
                <w:szCs w:val="20"/>
                <w:color w:val="auto"/>
              </w:rPr>
            </w:pPr>
          </w:p>
        </w:tc>
        <w:tc>
          <w:tcPr>
            <w:tcW w:w="37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37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64,115</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Maturing after one year through two years</w:t>
            </w:r>
          </w:p>
        </w:tc>
        <w:tc>
          <w:tcPr>
            <w:tcW w:w="3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two years</w:t>
            </w:r>
          </w:p>
        </w:tc>
        <w:tc>
          <w:tcPr>
            <w:tcW w:w="37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investments</w:t>
            </w:r>
          </w:p>
        </w:tc>
        <w:tc>
          <w:tcPr>
            <w:tcW w:w="3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100,112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105,410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780" w:type="dxa"/>
            <w:vAlign w:val="bottom"/>
            <w:vMerge w:val="restart"/>
          </w:tcPr>
          <w:p>
            <w:pPr>
              <w:jc w:val="right"/>
              <w:ind w:right="2210"/>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34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4340" w:type="dxa"/>
            <w:vAlign w:val="bottom"/>
            <w:shd w:val="clear" w:color="auto" w:fill="000000"/>
          </w:tcPr>
          <w:p>
            <w:pPr>
              <w:spacing w:after="0"/>
              <w:rPr>
                <w:sz w:val="5"/>
                <w:szCs w:val="5"/>
                <w:color w:val="auto"/>
              </w:rPr>
            </w:pPr>
          </w:p>
        </w:tc>
        <w:tc>
          <w:tcPr>
            <w:tcW w:w="3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type w:val="continuous"/>
        </w:sectPr>
      </w:pPr>
    </w:p>
    <w:bookmarkStart w:id="61" w:name="page62"/>
    <w:bookmarkEnd w:id="61"/>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from Collaborations</w:t>
      </w:r>
    </w:p>
    <w:p>
      <w:pPr>
        <w:spacing w:after="0" w:line="225"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Receivables from collaborations are recorded for amounts due to the Company related to reimbursable research and development costs from the U.S. Department of Health and Human Services, royalty receivables from Shionogi, Green Cross Corporation (“Green Cross”), Mundipharma International Holdings Limited (“Mundipharma”) and Seqirus UK Limited (“SUL”), and product sales to SUL. These receivables are evaluated to determine if any reserve or allowance should be established at each reporting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2018 and December 31, 2017, the Company had the following receivables: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2018</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Billed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Unbilled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Shionogi &amp; Co. Ltd.</w:t>
            </w:r>
          </w:p>
        </w:tc>
        <w:tc>
          <w:tcPr>
            <w:tcW w:w="10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Green Cross Corporation</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Mundipharma International Holdings Limited</w:t>
            </w:r>
          </w:p>
        </w:tc>
        <w:tc>
          <w:tcPr>
            <w:tcW w:w="10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Seqirus UK Limited</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receivables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2,714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4,293</w:t>
            </w: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Billed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b w:val="1"/>
                <w:bCs w:val="1"/>
                <w:color w:val="auto"/>
              </w:rPr>
              <w:t>Unbilled</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Department of Health and Human Services</w:t>
            </w: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2,062</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Shionogi &amp; Co. Ltd.</w:t>
            </w:r>
          </w:p>
        </w:tc>
        <w:tc>
          <w:tcPr>
            <w:tcW w:w="10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1,600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Green Cross Corporation</w:t>
            </w:r>
          </w:p>
        </w:tc>
        <w:tc>
          <w:tcPr>
            <w:tcW w:w="10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1,388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Mundipharma International Holdings Limited</w:t>
            </w:r>
          </w:p>
        </w:tc>
        <w:tc>
          <w:tcPr>
            <w:tcW w:w="1080" w:type="dxa"/>
            <w:vAlign w:val="bottom"/>
          </w:tcPr>
          <w:p>
            <w:pPr>
              <w:spacing w:after="0"/>
              <w:rPr>
                <w:sz w:val="18"/>
                <w:szCs w:val="18"/>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Seqirus UK Limited</w:t>
            </w: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receivables</w:t>
            </w: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8"/>
              </w:rPr>
              <w:t>3,902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6,117</w:t>
            </w:r>
          </w:p>
        </w:tc>
      </w:tr>
      <w:tr>
        <w:trPr>
          <w:trHeight w:val="20"/>
        </w:trPr>
        <w:tc>
          <w:tcPr>
            <w:tcW w:w="6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Monthly invoices are submitted to the U.S. Department of Health and Human Services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Receivables from Product Sales</w:t>
      </w:r>
    </w:p>
    <w:p>
      <w:pPr>
        <w:spacing w:after="0" w:line="225"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Receivables from product sales are recorded for amounts due to the Company related to sales of RAPIVAB. These receivables are evaluated to determine if any reserve or allowance should be established at each reporting date.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At December 31, 2018 and December 31, 2017, the Company’s inventory consisted primarily of peramivir work in process and is being manufactured for the Company’s partners. Inventory is stated at the lower of cost and net realizable value, determined under the first-in, first-out (“FIFO”) method, or market. 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will capitalize subsequent costs related to the production of inventories.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 Property consists of a leased building which did not meet the sale-leaseback criteria and is recorded at its fair value, less depreciation. The building is being depreciated over a period equal to the expected term of the related lease.</w:t>
      </w:r>
    </w:p>
    <w:p>
      <w:pPr>
        <w:spacing w:after="0" w:line="17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2" w:name="page63"/>
    <w:bookmarkEnd w:id="62"/>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22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seeks patent protection on all internally developed processes and products. All patent related costs are expensed to selling, general and administrative expenses when incurred as recoverability of such expenditures is uncertain.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 generally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The Company periodically confirms the accuracy of its estimates with the service providers and makes adjustments if necessary. Examples of estimated accrued expenses include:</w:t>
      </w:r>
    </w:p>
    <w:p>
      <w:pPr>
        <w:spacing w:after="0" w:line="182" w:lineRule="exact"/>
        <w:rPr>
          <w:sz w:val="20"/>
          <w:szCs w:val="20"/>
          <w:color w:val="auto"/>
        </w:rPr>
      </w:pPr>
    </w:p>
    <w:p>
      <w:pPr>
        <w:ind w:left="940" w:hanging="35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paid to Clinical Research Organizations (“CROs”) in connection with preclinical and toxicology studies and clinical trials;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paid to investigative sites in connection with clinical trials;</w:t>
      </w:r>
    </w:p>
    <w:p>
      <w:pPr>
        <w:spacing w:after="0" w:line="225" w:lineRule="exact"/>
        <w:rPr>
          <w:rFonts w:ascii="Arial" w:cs="Arial" w:eastAsia="Arial" w:hAnsi="Arial"/>
          <w:sz w:val="18"/>
          <w:szCs w:val="18"/>
          <w:color w:val="auto"/>
        </w:rPr>
      </w:pPr>
    </w:p>
    <w:p>
      <w:pPr>
        <w:ind w:left="940" w:hanging="351"/>
        <w:spacing w:after="0"/>
        <w:tabs>
          <w:tab w:leader="none" w:pos="9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fees paid to contract manufacturers in connection with the production of the Company’s raw materials, drug substance and drug products; and</w:t>
      </w:r>
    </w:p>
    <w:p>
      <w:pPr>
        <w:spacing w:after="0" w:line="248" w:lineRule="exact"/>
        <w:rPr>
          <w:rFonts w:ascii="Arial" w:cs="Arial" w:eastAsia="Arial" w:hAnsi="Arial"/>
          <w:sz w:val="16"/>
          <w:szCs w:val="16"/>
          <w:color w:val="auto"/>
        </w:rPr>
      </w:pPr>
    </w:p>
    <w:p>
      <w:pPr>
        <w:ind w:left="940" w:hanging="35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professional fees.</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December 31, 2018 and December 31, 2017, the carrying value of accrued expenses approximates their fair value due to their short-term settlement.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440"/>
              <w:spacing w:after="0"/>
              <w:rPr>
                <w:sz w:val="20"/>
                <w:szCs w:val="20"/>
                <w:color w:val="auto"/>
              </w:rPr>
            </w:pPr>
            <w:r>
              <w:rPr>
                <w:rFonts w:ascii="Arial" w:cs="Arial" w:eastAsia="Arial" w:hAnsi="Arial"/>
                <w:sz w:val="18"/>
                <w:szCs w:val="18"/>
                <w:color w:val="auto"/>
              </w:rPr>
              <w:t>Accrued expenses were comprised of the following:</w:t>
            </w:r>
          </w:p>
        </w:tc>
        <w:tc>
          <w:tcPr>
            <w:tcW w:w="1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6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w w:val="99"/>
              </w:rPr>
              <w:t>December 31,</w:t>
            </w:r>
          </w:p>
        </w:tc>
        <w:tc>
          <w:tcPr>
            <w:tcW w:w="1040" w:type="dxa"/>
            <w:vAlign w:val="bottom"/>
            <w:tcBorders>
              <w:bottom w:val="single" w:sz="8" w:color="auto"/>
            </w:tcBorders>
          </w:tcPr>
          <w:p>
            <w:pPr>
              <w:spacing w:after="0"/>
              <w:rPr>
                <w:sz w:val="24"/>
                <w:szCs w:val="24"/>
                <w:color w:val="auto"/>
              </w:rPr>
            </w:pPr>
          </w:p>
        </w:tc>
      </w:tr>
      <w:tr>
        <w:trPr>
          <w:trHeight w:val="223"/>
        </w:trPr>
        <w:tc>
          <w:tcPr>
            <w:tcW w:w="616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2,905</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Development costs</w:t>
            </w: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7,564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6,683</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Professional fees</w:t>
            </w: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Duties and taxes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3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9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2,234</w:t>
            </w:r>
          </w:p>
        </w:tc>
      </w:tr>
      <w:tr>
        <w:trPr>
          <w:trHeight w:val="223"/>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19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15,891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12,699</w:t>
            </w:r>
          </w:p>
        </w:tc>
      </w:tr>
      <w:tr>
        <w:trPr>
          <w:trHeight w:val="20"/>
        </w:trPr>
        <w:tc>
          <w:tcPr>
            <w:tcW w:w="6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Accumulated other comprehensive loss is comprised of unrealized gains and losses on available-for-sale investments and is disclosed as a separate component of stockholders’ equity. Amounts reclassified from accumulated other comprehensive loss are recorded as interest and other income on the Consolidated Statements of Comprehensive Loss. During 2018 and 2017, realized losses of $2 and $1, respectively, were reclassified out of accumulated other comprehensive loss.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Transition Considerations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May 2014, the Financial Accounting Standards Board issued Standards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(“ASC 606”), which provides a single, comprehensive revenue recognition model for all contracts with customers. The core principle of ASC 606 is that an entity should recognize revenue when it transfers promised goods or services to customers in an amount that reflects the consideration to which the entity expects to be entitled in exchange for those goods or services. ASC 606 also requires additional disclosure about the nature, amount, timing and uncertainty of revenue and cash flows arising from customer contracts, including significant judgments and changes in judgments and assets recognized from costs incurred to obtain or fulfill a contract.</w:t>
      </w:r>
    </w:p>
    <w:p>
      <w:pPr>
        <w:spacing w:after="0" w:line="19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The Company adopted the provisions of ASC 606 as of January 1, 2018 using the modified retrospective method as applied to contracts that were not completed as of that date. The modified retrospective method requires the recognition of the cumulative effect of initially applying the standard (if any) as an adjustment to opening retained earnings for the fiscal year beginning January 1, 2018. As a result, financial information for reporting periods beginning after January 1, 2018 are presented under ASC 606, while comparative financial information has not been adjusted and continues to be reported in accordance with the Company’s historical accounting policy for revenue recognition prior to the adoption of ASC 606.</w:t>
      </w:r>
    </w:p>
    <w:p>
      <w:pPr>
        <w:spacing w:after="0" w:line="173"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Adoption of ASC 606 resulted in a change in the Company’s method of accounting for fees received under licensing agreements. Prior to adopting ASC 606, fees received under licensing agreements that were related to future performance were deferred and recognized over an estimated period based on the terms of the agreement and the products licensed. Under ASC 606, licenses of drug products and formulations are forms of functional intellectual property. Licenses of functional intellectual property grant a right to use the intellectual property and the related revenue will generally be recognized at a point in time rather than over time. As a result, certain license fees that were previously deferred and recognized over time were eliminated through a cumulative effect adjustment as of January 1, 2018.</w:t>
      </w:r>
    </w:p>
    <w:p>
      <w:pPr>
        <w:spacing w:after="0" w:line="19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summarizes the cumulative effect of the changes to the Company’s unaudited Consolidated Balance Sheet as of January 1, 2018 from the adoption of ASC 606: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Balance at</w:t>
            </w: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w w:val="92"/>
              </w:rPr>
              <w:t>Adjustments due to</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64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ASC 606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January 1, 2018</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Deferred collaboration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8,484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7,300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(631,843)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1,126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(630,717)</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following tables summarize the current period impacts of adopting ASC 606 on the Company’s Consolidated Balance Sheet and Consolidated Statement of Comprehensive Loss: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Adjustments due to</w:t>
            </w:r>
          </w:p>
        </w:tc>
        <w:tc>
          <w:tcPr>
            <w:tcW w:w="100" w:type="dxa"/>
            <w:vAlign w:val="bottom"/>
          </w:tcPr>
          <w:p>
            <w:pPr>
              <w:spacing w:after="0"/>
              <w:rPr>
                <w:sz w:val="16"/>
                <w:szCs w:val="16"/>
                <w:color w:val="auto"/>
              </w:rPr>
            </w:pPr>
          </w:p>
        </w:tc>
        <w:tc>
          <w:tcPr>
            <w:tcW w:w="1500" w:type="dxa"/>
            <w:vAlign w:val="bottom"/>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Balances without</w:t>
            </w:r>
          </w:p>
        </w:tc>
        <w:tc>
          <w:tcPr>
            <w:tcW w:w="2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ASC 606</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0"/>
              </w:rPr>
              <w:t>adoption of ASC 606</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Deferred collaboration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40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(731,969)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(731,969)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For the Twelve Months Ended December 31, 2018</w:t>
            </w:r>
          </w:p>
        </w:tc>
      </w:tr>
      <w:tr>
        <w:trPr>
          <w:trHeight w:val="191"/>
        </w:trPr>
        <w:tc>
          <w:tcPr>
            <w:tcW w:w="64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ind w:left="20"/>
              <w:spacing w:after="0" w:line="191" w:lineRule="exact"/>
              <w:rPr>
                <w:sz w:val="20"/>
                <w:szCs w:val="20"/>
                <w:color w:val="auto"/>
              </w:rPr>
            </w:pPr>
            <w:r>
              <w:rPr>
                <w:rFonts w:ascii="Arial" w:cs="Arial" w:eastAsia="Arial" w:hAnsi="Arial"/>
                <w:sz w:val="18"/>
                <w:szCs w:val="18"/>
                <w:b w:val="1"/>
                <w:bCs w:val="1"/>
                <w:color w:val="auto"/>
                <w:w w:val="97"/>
              </w:rPr>
              <w:t>Adjustments due to</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89"/>
              </w:rPr>
              <w:t>Balances without</w:t>
            </w:r>
          </w:p>
        </w:tc>
        <w:tc>
          <w:tcPr>
            <w:tcW w:w="20" w:type="dxa"/>
            <w:vAlign w:val="bottom"/>
          </w:tcPr>
          <w:p>
            <w:pPr>
              <w:spacing w:after="0"/>
              <w:rPr>
                <w:sz w:val="16"/>
                <w:szCs w:val="16"/>
                <w:color w:val="auto"/>
              </w:rPr>
            </w:pPr>
          </w:p>
        </w:tc>
      </w:tr>
      <w:tr>
        <w:trPr>
          <w:trHeight w:val="234"/>
        </w:trPr>
        <w:tc>
          <w:tcPr>
            <w:tcW w:w="6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ASC 606</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w w:val="90"/>
              </w:rPr>
              <w:t>adoption of ASC 606</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Collaborative and other research and development 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14,552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15,736</w:t>
            </w:r>
          </w:p>
        </w:tc>
        <w:tc>
          <w:tcPr>
            <w:tcW w:w="20" w:type="dxa"/>
            <w:vAlign w:val="bottom"/>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1420" w:type="dxa"/>
            <w:vAlign w:val="bottom"/>
          </w:tcPr>
          <w:p>
            <w:pPr>
              <w:jc w:val="right"/>
              <w:ind w:right="50"/>
              <w:spacing w:after="0"/>
              <w:rPr>
                <w:sz w:val="20"/>
                <w:szCs w:val="20"/>
                <w:color w:val="auto"/>
              </w:rPr>
            </w:pPr>
            <w:r>
              <w:rPr>
                <w:rFonts w:ascii="Arial" w:cs="Arial" w:eastAsia="Arial" w:hAnsi="Arial"/>
                <w:sz w:val="18"/>
                <w:szCs w:val="18"/>
                <w:color w:val="auto"/>
              </w:rPr>
              <w:t>84,888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84,946</w:t>
            </w:r>
          </w:p>
        </w:tc>
        <w:tc>
          <w:tcPr>
            <w:tcW w:w="2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(100,126)</w:t>
            </w:r>
          </w:p>
        </w:tc>
        <w:tc>
          <w:tcPr>
            <w:tcW w:w="20" w:type="dxa"/>
            <w:vAlign w:val="bottom"/>
          </w:tcPr>
          <w:p>
            <w:pPr>
              <w:spacing w:after="0"/>
              <w:rPr>
                <w:sz w:val="18"/>
                <w:szCs w:val="18"/>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(0.97)</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Adoption of the standard had no impact on total net cash within the Consolidated Statements of Cash Flows.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recognizes revenue when it satisfies a performance obligation by transferring promised goods or services to a customer. Revenue is measured at the transaction price that is based on the amount of consideration that the Company expects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7"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are license, service, royalty and product sale revenues from these collaborative and other research and development arrangements.</w:t>
      </w:r>
    </w:p>
    <w:p>
      <w:pPr>
        <w:spacing w:after="0" w:line="181" w:lineRule="exact"/>
        <w:rPr>
          <w:sz w:val="20"/>
          <w:szCs w:val="20"/>
          <w:color w:val="auto"/>
        </w:rPr>
      </w:pPr>
    </w:p>
    <w:p>
      <w:pPr>
        <w:jc w:val="both"/>
        <w:ind w:right="220" w:firstLine="486"/>
        <w:spacing w:after="0" w:line="264"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8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up-front while the research and development service fees would be recognized as the performance obligations are satisfied.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Analyzing the arrangement to identify performance obligations requires the use of judgment, and each may be an obligation to deliver services, a right or license to use an asset, or another performance obligation.</w:t>
      </w:r>
    </w:p>
    <w:p>
      <w:pPr>
        <w:spacing w:after="0" w:line="180"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380" w:firstLine="486"/>
        <w:spacing w:after="0" w:line="279" w:lineRule="auto"/>
        <w:rPr>
          <w:sz w:val="20"/>
          <w:szCs w:val="20"/>
          <w:color w:val="auto"/>
        </w:rPr>
      </w:pPr>
      <w:r>
        <w:rPr>
          <w:rFonts w:ascii="Arial" w:cs="Arial" w:eastAsia="Arial" w:hAnsi="Arial"/>
          <w:sz w:val="17"/>
          <w:szCs w:val="17"/>
          <w:color w:val="auto"/>
        </w:rPr>
        <w:t>Reimbursements received for direct out-of-pocket expenses related to research and development costs are recorded as revenue in the Consolidated Statements of Comprehensive Loss rather than as a reduction in expenses. Under the Company’s contracts with the Biomedical Advanced Research and Development Authority within the United States Department of Health and Human Services (”BARDA/HHS”) and the National Institute of Allergy and Infectious Diseases (“NIAID/HHS”), revenue is recognized as reimbursable direct and indirect costs are incurred.</w:t>
      </w:r>
    </w:p>
    <w:p>
      <w:pPr>
        <w:spacing w:after="0" w:line="17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100" w:firstLine="486"/>
        <w:spacing w:after="0" w:line="285" w:lineRule="auto"/>
        <w:rPr>
          <w:sz w:val="20"/>
          <w:szCs w:val="20"/>
          <w:color w:val="auto"/>
        </w:rPr>
      </w:pPr>
      <w:r>
        <w:rPr>
          <w:rFonts w:ascii="Arial" w:cs="Arial" w:eastAsia="Arial" w:hAnsi="Arial"/>
          <w:sz w:val="16"/>
          <w:szCs w:val="16"/>
          <w:color w:val="auto"/>
        </w:rPr>
        <w:t>The Company recognizes revenue for sales of RAPIVAB when the customer obtains control of the product, which generally occurs on the date of shipment to the Company’s specialty distributors, utilizing the Sell-In revenue recognition methodology. Product sales are recognized net of estimated allowances, discounts, sales returns, chargebacks and rebates. In the United States, prior to the Seqirus UK Limited (“SUL”) agreement, the Company sold RAPIVAB to specialty distributors, who in turn, sell to physician offices, hospitals and federal, state and commercial health care organizations. With the completion of the SUL worldwide license of RAPIVAB, SUL will be responsible for sales of RAPIVAB, other than U.S. Government stockpiling sales. With</w:t>
      </w:r>
    </w:p>
    <w:p>
      <w:pPr>
        <w:spacing w:after="0" w:line="2"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auto"/>
        </w:rPr>
        <w:t>the completion of the SUL collaboration, all peramivir sales (i.e., RAPIVAB, ALPIVAB</w:t>
      </w:r>
      <w:r>
        <w:rPr>
          <w:rFonts w:ascii="Arial" w:cs="Arial" w:eastAsia="Arial" w:hAnsi="Arial"/>
          <w:sz w:val="30"/>
          <w:szCs w:val="30"/>
          <w:color w:val="auto"/>
          <w:vertAlign w:val="superscript"/>
        </w:rPr>
        <w:t>TM</w:t>
      </w:r>
      <w:r>
        <w:rPr>
          <w:rFonts w:ascii="Arial" w:cs="Arial" w:eastAsia="Arial" w:hAnsi="Arial"/>
          <w:sz w:val="18"/>
          <w:szCs w:val="18"/>
          <w:color w:val="auto"/>
        </w:rPr>
        <w:t>, RAPIACTA</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and PERAMIFLU</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will be made by the Company’s partners, except for U.S. Government stockpiling sales and sales to other partners, and the Company will be reliant on these partners to generate sales.</w:t>
      </w:r>
    </w:p>
    <w:p>
      <w:pPr>
        <w:spacing w:after="0" w:line="204"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Sales deductions consist of statutory rebates to state Medicaid, Medicare and other government agencies and sales discounts (including trade discounts and distribution service fees). These deductions are recorded as reductions from revenue from RAPIVAB in the same period as the related sales with estimates of future utilization derived from historical experience adjusted to reflect known changes in the factors that impact such reserves.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recorded the following revenues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Product sales, net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Royalty revenue</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10,543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9,682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Collaborative and other research and development revenues: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U.S. Department of Health and Human Services</w:t>
            </w:r>
          </w:p>
        </w:tc>
        <w:tc>
          <w:tcPr>
            <w:tcW w:w="1000" w:type="dxa"/>
            <w:vAlign w:val="bottom"/>
          </w:tcPr>
          <w:p>
            <w:pPr>
              <w:spacing w:after="0"/>
              <w:rPr>
                <w:sz w:val="18"/>
                <w:szCs w:val="18"/>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12,449</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Shionogi &amp; Co. Ltd.</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Seqirus UK Limited</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12,000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7,350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collaborative and other research and development revenues</w:t>
            </w:r>
          </w:p>
        </w:tc>
        <w:tc>
          <w:tcPr>
            <w:tcW w:w="10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14,552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13,142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14,402</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20,653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25,186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26,353</w:t>
            </w:r>
          </w:p>
        </w:tc>
      </w:tr>
      <w:tr>
        <w:trPr>
          <w:trHeight w:val="20"/>
        </w:trPr>
        <w:tc>
          <w:tcPr>
            <w:tcW w:w="6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right="120" w:firstLine="486"/>
        <w:spacing w:after="0" w:line="308" w:lineRule="auto"/>
        <w:rPr>
          <w:sz w:val="20"/>
          <w:szCs w:val="20"/>
          <w:color w:val="auto"/>
        </w:rPr>
      </w:pPr>
      <w:r>
        <w:rPr>
          <w:rFonts w:ascii="Arial" w:cs="Arial" w:eastAsia="Arial" w:hAnsi="Arial"/>
          <w:sz w:val="17"/>
          <w:szCs w:val="17"/>
          <w:color w:val="auto"/>
        </w:rPr>
        <w:t>The Company engages in very limited distribution and direct-response advertising when promoting RAPIVAB. Advertising and promotional costs are expensed as the costs are incurred. The Company did not incur advertising and product promotion expenses in 2018, 2017 or 2016.</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66"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360" w:firstLine="486"/>
        <w:spacing w:after="0" w:line="276" w:lineRule="auto"/>
        <w:rPr>
          <w:sz w:val="20"/>
          <w:szCs w:val="20"/>
          <w:color w:val="auto"/>
        </w:rPr>
      </w:pPr>
      <w:r>
        <w:rPr>
          <w:rFonts w:ascii="Arial" w:cs="Arial" w:eastAsia="Arial" w:hAnsi="Arial"/>
          <w:sz w:val="17"/>
          <w:szCs w:val="17"/>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we have outstanding performance-based stock options for which no compensation expense is recognized until “performance” is deemed to have occurred.</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22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Interest expense for the years ended December 31, 2018, 2017 and 2016 was $9,176, $8,565 and $6,487, respectively, and primarily relates to the issuance of the PhaRMA Notes (defined in Note 3) and the Prior Credit Facility and Amended and Restated Senior Credit Facility (each defined in Note 4). Costs directly associated with the issuance of the PhaRMA Notes, the Prior Credit Facility and the Amended and Restated Senior Credit Facility have been capitalized and are netted against the non-recourse notes payable and senior credit facility on the Consolidated Balance Sheets. These costs are being amortized to interest expense over the terms of the PhaRMA Notes and the Amended and Restated Senior Credit Facility (as subsequently amended and restated) using the effective interest rate method. Amortization of deferred financing costs and original issue discount included in interest expense was $885, $876 and $558 for each of the years ended December 31, 2018, 2017 and 2016, respectively.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 Financing Obligation</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Based on the terms of the lease agreement for the new research facility in Birmingham, Alabama, the Company had construction period risks during the construction period and the Company was deemed the owner of the building (for accounting purposes only) during the construction period, which ended in 2016. Accordingly, the Company recorded an asset of $1,589 at December 31, 2015, representing the Company’s leased portion of the building and recorded a corresponding liability. Upon completion of leasehold improvement construction, the Company did not meet the sale-leaseback criteria for de-recognition of the building asset and liability. Therefore, the lease is accounted for as a financing obligation. The asset will be depreciated over the expected duration of the lease of 20.5 years, and rental payments will be treated as principal and interest payments on the lease financing obligation liability. The underlying accounting for this transaction has no impact on cash flows associated with the underlying lease or construction in process. Interest expense for the years ended December 31, 2018, 2017 and 2016 includes $337, $299 and $408, respectively, related to the lease financing obligation.</w:t>
      </w:r>
    </w:p>
    <w:p>
      <w:pPr>
        <w:spacing w:after="0" w:line="166" w:lineRule="exact"/>
        <w:rPr>
          <w:sz w:val="20"/>
          <w:szCs w:val="20"/>
          <w:color w:val="auto"/>
        </w:rPr>
      </w:pPr>
    </w:p>
    <w:p>
      <w:pPr>
        <w:ind w:right="160" w:firstLine="414"/>
        <w:spacing w:after="0" w:line="342" w:lineRule="auto"/>
        <w:rPr>
          <w:sz w:val="20"/>
          <w:szCs w:val="20"/>
          <w:color w:val="auto"/>
        </w:rPr>
      </w:pPr>
      <w:r>
        <w:rPr>
          <w:rFonts w:ascii="Arial" w:cs="Arial" w:eastAsia="Arial" w:hAnsi="Arial"/>
          <w:sz w:val="16"/>
          <w:szCs w:val="16"/>
          <w:color w:val="auto"/>
        </w:rPr>
        <w:t>At December 31, 2018 and 2017, the lease financing obligation balance was $2,703 and $2,704, respectively, and was recorded as a long-term liability on the Consolidated Balance Sheets. At December 31, 2018 the remaining future minimum payments under the lease financing obligation are $3,890.</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225"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In connection with the issuance by Royalty Sub of the PhaRMA Notes, the Company entered into a Currency Hedge Agreement to hedge certain risks associated with changes in the value of the Japanese yen relative to the U.S. dollar. The Currency Hedge Agreement does not qualify for hedge accounting treatment; therefore mark to market adjustments are recognized in the Company’s Consolidated Statements of Comprehensive Loss. Cumulative mark to market adjustments for the years ended December 31, 2018, 2017 and 2016 resulted in losses of $1,049, $1,787 and $1,654, respectively. Mark to market adjustments are determined by a third-party pricing model which uses quoted prices in markets that are not actively traded and for which significant inputs are observable directly or indirectly, representing Level 2 in the fair value hierarchy as defined by U.S. GAAP. In addition, realized currency exchange gains of $941, $966 and $811 were recognized in 2018, 2017 and 2016, respectively, related to the exercise of a U.S. dollar/Japanese yen currency option under the Company’s foreign currency hedge. The Company is also required to post collateral in connection with the mark to market adjustments based on defined thresholds. As of December 31, 2018 and December 31, 2017, no hedge collateral was posted under the Currency Hedge Agreement.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outstanding warrants, and common shares expected to be issued under the Company’s employee stock purchase plan were anti-dilutive. The calculation of diluted earnings per share for the years ended December 31, 2018, 2017, and 2016 does not include 2,274, 2,067 and 1,226 respectively, of potential common shares as their impact would be anti-dilutive.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Prior to the SUL Agreement, the Company relied primarily on three specialty distributors to purchase and supply the majority of RAPIVAB. These three pharmaceutical specialty distributors accounted for greater than 90% of all RAPIVAB product sales and accounted for predominantly all of the Company’s outstanding receivables from product sales. The loss of one or more of these specialty distributors as a customer could have negatively impacted the commercialization of RAPIVAB. However, the Company will utilize these specialty distributors on a limited basis subsequent to the SUL collaboration as SUL, and other peramivir collaboration partners, will be responsible for commercial sales on a worldwide basis. In addition, in connection with the SUL collaboration, all peramivir sales (i.e., RAPIVAB, RAPIACTA, and PERAMIFLU) will be made by the Company’s partners and the Company will be reliant on these partners to generate sales and remit cash to satisfy receivables.</w:t>
      </w:r>
    </w:p>
    <w:p>
      <w:pPr>
        <w:spacing w:after="0" w:line="178" w:lineRule="exact"/>
        <w:rPr>
          <w:sz w:val="20"/>
          <w:szCs w:val="20"/>
          <w:color w:val="auto"/>
        </w:rPr>
      </w:pPr>
    </w:p>
    <w:p>
      <w:pPr>
        <w:ind w:right="60" w:firstLine="492"/>
        <w:spacing w:after="0" w:line="288" w:lineRule="auto"/>
        <w:rPr>
          <w:sz w:val="20"/>
          <w:szCs w:val="20"/>
          <w:color w:val="auto"/>
        </w:rPr>
      </w:pPr>
      <w:r>
        <w:rPr>
          <w:rFonts w:ascii="Arial" w:cs="Arial" w:eastAsia="Arial" w:hAnsi="Arial"/>
          <w:sz w:val="16"/>
          <w:szCs w:val="16"/>
          <w:color w:val="auto"/>
        </w:rPr>
        <w:t>Other than royalty revenues, the Company’s primary source of revenue that has an underlying cash flow stream is the reimbursement of galidesivir (formerly BCX4430) development expenses earned under cost-plus-fixed-fee contracts with BARDA/HHS and NIAID/HHS. The Company relies on BARDA/HHS and NIAID/HHS to reimburse predominantly all of the development costs for its galidesivir program. Accordingly, reimbursement of these expenses represents a significant portion of the Company’s collaborative and other research and development revenues. The completion or termination of the NIAID/HHS and BARDA/HHS galidesivir contracts could negatively impact the Company’s future Consolidated Statements of Comprehensive Loss and Cash Flows. The Company recognizes royalty revenue from the net sales of RAPIACTA by Shionogi; however, the underlying cash flow from these royalty payments, except for Japanese government stockpiling sales, goes directly to pay the interest, and then the principal, on the Company’s non-recourse notes payable. Payment of the interest and the ultimate repayment of principal of these notes will be entirely funded by future royalty payments derived from net sales of RAPIACTA. Further, the Company’s drug development activities are performed by a limited group of third party vendors. If any of these vendors were unable to perform their services, this could significantly impact the Company’s ability to complete its drug development activities.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Risks from Third Party Manufacturing and Distribution Concentration</w:t>
      </w:r>
    </w:p>
    <w:p>
      <w:pPr>
        <w:spacing w:after="0" w:line="225" w:lineRule="exact"/>
        <w:rPr>
          <w:sz w:val="20"/>
          <w:szCs w:val="20"/>
          <w:color w:val="auto"/>
        </w:rPr>
      </w:pPr>
    </w:p>
    <w:p>
      <w:pPr>
        <w:ind w:right="80" w:firstLine="492"/>
        <w:spacing w:after="0" w:line="264" w:lineRule="auto"/>
        <w:rPr>
          <w:sz w:val="20"/>
          <w:szCs w:val="20"/>
          <w:color w:val="auto"/>
        </w:rPr>
      </w:pPr>
      <w:r>
        <w:rPr>
          <w:rFonts w:ascii="Arial" w:cs="Arial" w:eastAsia="Arial" w:hAnsi="Arial"/>
          <w:sz w:val="18"/>
          <w:szCs w:val="18"/>
          <w:color w:val="auto"/>
        </w:rPr>
        <w:t>The Company relies on single source manufacturers for active pharmaceutical ingredient and finished drug product manufacturing of product candidates in development. Delays in the manufacture or distribution of any product could adversely impact the commercial revenue and future procurement stockpiling of the Company’s product candidates in development.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80" w:firstLine="492"/>
        <w:spacing w:after="0" w:line="293" w:lineRule="auto"/>
        <w:rPr>
          <w:sz w:val="20"/>
          <w:szCs w:val="20"/>
          <w:color w:val="auto"/>
        </w:rPr>
      </w:pPr>
      <w:r>
        <w:rPr>
          <w:rFonts w:ascii="Arial" w:cs="Arial" w:eastAsia="Arial" w:hAnsi="Arial"/>
          <w:sz w:val="16"/>
          <w:szCs w:val="16"/>
          <w:color w:val="auto"/>
        </w:rPr>
        <w:t>Cash equivalents and investments are financial instruments which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18 months or less. Other than product sale and collaborative partner receivables discussed above, the majority of the Company’s receivables from collaborations are due from the U.S. Government, for which there is no assumed credit risk.</w:t>
      </w:r>
    </w:p>
    <w:p>
      <w:pPr>
        <w:sectPr>
          <w:pgSz w:w="11900" w:h="16838" w:orient="portrait"/>
          <w:cols w:equalWidth="0" w:num="1">
            <w:col w:w="11380"/>
          </w:cols>
          <w:pgMar w:left="240" w:top="33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2 — Property and Equipment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120" w:type="dxa"/>
            <w:vAlign w:val="bottom"/>
          </w:tcPr>
          <w:p>
            <w:pPr>
              <w:ind w:left="500"/>
              <w:spacing w:after="0"/>
              <w:rPr>
                <w:sz w:val="20"/>
                <w:szCs w:val="20"/>
                <w:color w:val="auto"/>
              </w:rPr>
            </w:pPr>
            <w:r>
              <w:rPr>
                <w:rFonts w:ascii="Arial" w:cs="Arial" w:eastAsia="Arial" w:hAnsi="Arial"/>
                <w:sz w:val="18"/>
                <w:szCs w:val="18"/>
                <w:color w:val="auto"/>
              </w:rPr>
              <w:t>Property and equipment consisted of the following at December 31:</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6"/>
        </w:trPr>
        <w:tc>
          <w:tcPr>
            <w:tcW w:w="8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Office equipment</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Laboratory equipment</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2,984</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Leased equipment</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8,405</w:t>
            </w: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w:t>
            </w:r>
          </w:p>
        </w:tc>
      </w:t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15,230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14,873</w:t>
            </w:r>
          </w:p>
        </w:tc>
      </w:tr>
      <w:tr>
        <w:trPr>
          <w:trHeight w:val="23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(5,327)</w:t>
            </w:r>
          </w:p>
        </w:tc>
      </w:tr>
      <w:tr>
        <w:trPr>
          <w:trHeight w:val="223"/>
        </w:trPr>
        <w:tc>
          <w:tcPr>
            <w:tcW w:w="8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9,135</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9,546</w:t>
            </w: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and amortization expense for the years ended December 31, 2018, 2017 and 2016 was $770, $704 and $483,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3—Royalty Monetization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On March 9, 2011, the Company completed a $30,000 financing transaction to monetize certain future royalty and milestone payments under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Royalty Sub, available to help cover interest shortfalls in the future. All of the interest reserve account has been fully utilized with the September 2012 interest payment.</w:t>
      </w:r>
    </w:p>
    <w:p>
      <w:pPr>
        <w:spacing w:after="0" w:line="15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will be paid by Shionogi in Japanese yen and milestone payments will paid in U.S. dollars. The Company’s collaboration with Shionogi was not impacted as a result of this transaction.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Non-Recourse Notes Payable</w:t>
      </w:r>
    </w:p>
    <w:p>
      <w:pPr>
        <w:spacing w:after="0" w:line="22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On March 9, 2011, Royalty Sub completed a private placement to institutional investors of $30,000 in aggregate principal amount of its PhaRMA Senior Secured 14.0% Notes due 2020 (the “PhaRMA Notes”). The PhaRMA Notes were issued by Royalty Sub under an Indenture, dated as of March 9, 2011 (the “Indenture”), by and between Royalty Sub and U.S. Bank National Association, as Trustee. Principal and interest on the PhaRMA Notes issued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89"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As a result of the event of default under the PhaRMA Notes, the holders of the PhaRMA Notes may pursue acceleration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acceleration or foreclosure, the primary impact to the Company would be the loss of future royalty payments from Shionogi and legal costs associated with retiring the PhaRMA Notes. In addition, the Company may incur costs associated with liquidating the related Currency Hedge Agreement, which would no longer be required in the event of foreclosure, or if the PhaRMA Notes cease to be outstanding. As the PhaRMA Notes are the obligation of Royalty Sub and non-recourse to the Company, the event of default of the PhaRMA Notes is not expected to have a significant impact on the Company’s future results of operations or cash flows. As of December 31, 2018, the PhaRMA Notes remain in default.</w:t>
      </w:r>
    </w:p>
    <w:p>
      <w:pPr>
        <w:sectPr>
          <w:pgSz w:w="11900" w:h="16838" w:orient="portrait"/>
          <w:cols w:equalWidth="0" w:num="1">
            <w:col w:w="11420"/>
          </w:cols>
          <w:pgMar w:left="240" w:top="337" w:right="239" w:bottom="1027"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027" w:gutter="0" w:footer="0" w:header="0"/>
          <w:type w:val="continuous"/>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Indenture does not contain any financial covenants. The Indenture includes customary representations and warranties of Royalty Sub, affirmative and negative covenants of Royalty Sub, Events of Default and related remedies, and provisions regarding the duties of the Trustee, indemnification of the Trustee, and other matters typical for indentures used in structured financings of this type.</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of December 31, 2018, the aggregate fair value of the PhaRMA Notes was estimated to be approximately 50% of its carrying value of $30,000. The estimated fair value of the PhaRMA Notes is classified as Level 2 in the fair value hierarchy as defined in U.S. GAAP.</w:t>
      </w:r>
    </w:p>
    <w:p>
      <w:pPr>
        <w:spacing w:after="0" w:line="170"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The PhaRMA Notes are redeemable at the option of Royalty Sub at any time at a redemption price equal to the outstanding principal balance of the PhaRMA Notes being redeemed plus accrued and unpaid interest through the redemption date on the PhaRMA Notes being redeemed.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Hedge</w:t>
      </w:r>
    </w:p>
    <w:p>
      <w:pPr>
        <w:spacing w:after="0" w:line="225"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In connection with the issuance by Royalty Sub of the PhaRMA Notes, the Company entered into a Currency Hedge Agreement to hedge certain risks associated with changes in the value of the Japanese yen relative to the U.S. dollar. Under the Currency Hedge Agreement, the Company has the right to purchase dollars and sell yen at a rate of 100 yen per dollar for which the Company may be required to pay a premium in each year from 2019 through 2020, provided the Currency Hedge Agreement remains in effect. A payment of $1,950 will be required if, on May 18 of the relevant year, the U.S. dollar is worth 100 yen or less as determined in accordance with the Currency Hedge Agreement.</w:t>
      </w:r>
    </w:p>
    <w:p>
      <w:pPr>
        <w:spacing w:after="0" w:line="17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Currency Hedge Agreement does not qualify for hedge accounting treatment; therefore mark to market adjustments are recognized in the Company’s Consolidated Statements of Comprehensive Loss. Cumulative mark to market adjustments in 2018, 2017 and 2016 resulted in losses of $1,049, $1,787 and $1,654, respectively. In addition, realized currency exchange gains of $941, $966 and $811 were recognized in 2018, 2017 and 2016, respectively, related to the exercise of a U.S. dollar/Japanese yen currency option under the Company’s foreign currency hedge. The Company is also required to post collateral in connection with the mark to market adjustments based on defined thresholds. As of December 31, 2018 and 2017, no collateral was posted under the Currency Hedge Agreement. The Company will not be required at any time to post collateral exceeding the maximum premium payments remaining payable under the Currency Hedge Agreement. As of December 31, 2018, the maximum amount of hedge collateral the Company may be required to post is $3,900.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Senior Credit Facility</w:t>
      </w:r>
    </w:p>
    <w:p>
      <w:pPr>
        <w:spacing w:after="0" w:line="229"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On July 20, 2018, the Company, together with its consolidated subsidiary, MDCP, LLC (collectively, the “Borrowers”), entered into a $30,000 secured credit facility with MidCap Financial, a Delaware statutory trust, as administrative agent and lender (“MidCap”), pursuant to the terms and conditions of that certain Amended and Restated Credit and Security Agreement, dated as of July 20, 2018 (the “Amended and Restated Senior Credit Facility”), among the Borrowers, MidCap, and the lenders party thereto from time to time. The Amended and Restated Senior Credit Facility refinanced and replaced the Senior Credit Facility dated as of September 23, 2016 among the Borrowers, MidCap and the lenders party thereto from time to time (the “Prior Credit Facility”). The Amended and Restated Senior Credit Facility was fully funded at closing and bears a variable interest rate of LIBOR (which shall not be less than 0.5%) plus 8%. The Amended and Restated Senior Credit Facility included an interest-only payment period through July 2019 and scheduled monthly principal and interest payments for the subsequent 30 months. The Company used a portion of the proceeds of the Amended and Restated Senior Credit Facility to pay off outstanding amounts under the Prior Credit Facility and for general corporate purposes. On February 6, 2019, the Borrowers, MidCap, and the lenders entered into a $100,000 secured credit facility pursuant to that certain Second Amended and Restated Credit and Security Agreement. See Note 13—Subsequent Event.</w:t>
      </w:r>
    </w:p>
    <w:p>
      <w:pPr>
        <w:spacing w:after="0" w:line="183"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As of December 31, 2018, the Company had borrowings of $30,000 under the Amended and Restated Senior Credit Facility bearing an interest rate of 10.3%. The carrying amount of the debt approximates its fair value based on prevailing interest rates as of the balance sheet date. The remaining scheduled principal repayments of the Amended and Restated Senior Credit Facility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spacing w:after="0"/>
              <w:rPr>
                <w:sz w:val="20"/>
                <w:szCs w:val="20"/>
                <w:color w:val="auto"/>
              </w:rPr>
            </w:pPr>
          </w:p>
        </w:tc>
        <w:tc>
          <w:tcPr>
            <w:tcW w:w="7700" w:type="dxa"/>
            <w:vAlign w:val="bottom"/>
            <w:tcBorders>
              <w:bottom w:val="single" w:sz="8" w:color="auto"/>
            </w:tcBorders>
            <w:gridSpan w:val="2"/>
          </w:tcPr>
          <w:p>
            <w:pPr>
              <w:jc w:val="center"/>
              <w:ind w:right="1525"/>
              <w:spacing w:after="0"/>
              <w:rPr>
                <w:sz w:val="20"/>
                <w:szCs w:val="20"/>
                <w:color w:val="auto"/>
              </w:rPr>
            </w:pPr>
            <w:r>
              <w:rPr>
                <w:rFonts w:ascii="Arial" w:cs="Arial" w:eastAsia="Arial" w:hAnsi="Arial"/>
                <w:sz w:val="18"/>
                <w:szCs w:val="18"/>
                <w:b w:val="1"/>
                <w:bCs w:val="1"/>
                <w:color w:val="auto"/>
                <w:w w:val="90"/>
              </w:rPr>
              <w:t>Principal Payments</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70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2020</w:t>
            </w:r>
          </w:p>
        </w:tc>
        <w:tc>
          <w:tcPr>
            <w:tcW w:w="7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716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1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160" w:type="dxa"/>
            <w:vAlign w:val="bottom"/>
            <w:vMerge w:val="restart"/>
          </w:tcPr>
          <w:p>
            <w:pPr>
              <w:jc w:val="right"/>
              <w:ind w:right="3930"/>
              <w:spacing w:after="0"/>
              <w:rPr>
                <w:sz w:val="20"/>
                <w:szCs w:val="20"/>
                <w:color w:val="auto"/>
              </w:rPr>
            </w:pPr>
            <w:r>
              <w:rPr>
                <w:rFonts w:ascii="Arial" w:cs="Arial" w:eastAsia="Arial" w:hAnsi="Arial"/>
                <w:sz w:val="18"/>
                <w:szCs w:val="18"/>
                <w:color w:val="auto"/>
              </w:rPr>
              <w:t>70</w:t>
            </w: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680" w:type="dxa"/>
            <w:vAlign w:val="bottom"/>
          </w:tcPr>
          <w:p>
            <w:pPr>
              <w:spacing w:after="0"/>
              <w:rPr>
                <w:sz w:val="24"/>
                <w:szCs w:val="24"/>
                <w:color w:val="auto"/>
              </w:rPr>
            </w:pPr>
          </w:p>
        </w:tc>
        <w:tc>
          <w:tcPr>
            <w:tcW w:w="71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68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680" w:type="dxa"/>
            <w:vAlign w:val="bottom"/>
            <w:shd w:val="clear" w:color="auto" w:fill="000000"/>
          </w:tcPr>
          <w:p>
            <w:pPr>
              <w:spacing w:after="0"/>
              <w:rPr>
                <w:sz w:val="5"/>
                <w:szCs w:val="5"/>
                <w:color w:val="auto"/>
              </w:rPr>
            </w:pPr>
          </w:p>
        </w:tc>
        <w:tc>
          <w:tcPr>
            <w:tcW w:w="716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The debt agreement contains two provisions that if deemed probable would create the recognition of an embedded feature; however, we do not believe either provision is probable.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Note 5 — Lease Obligations and Other Contingencies</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40" w:type="dxa"/>
            <w:vAlign w:val="bottom"/>
          </w:tcPr>
          <w:p>
            <w:pPr>
              <w:ind w:left="480"/>
              <w:spacing w:after="0"/>
              <w:rPr>
                <w:sz w:val="20"/>
                <w:szCs w:val="20"/>
                <w:color w:val="auto"/>
              </w:rPr>
            </w:pPr>
            <w:r>
              <w:rPr>
                <w:rFonts w:ascii="Arial" w:cs="Arial" w:eastAsia="Arial" w:hAnsi="Arial"/>
                <w:sz w:val="18"/>
                <w:szCs w:val="18"/>
                <w:color w:val="auto"/>
                <w:w w:val="93"/>
              </w:rPr>
              <w:t>The Company has the following minimum payments under operating lease obligations that existed at December 31, 2018:</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The obligations in the preceding table are primarily related to the Company’s leases for buildings in Birmingham, Alabama and Durham, North Carolina. As of December 31, 2018, the lease for the Company’s headquarters in Durham, North Carolina expires June 30, 2020, but it was subsequently extended to December 31, 2020. The lease for the Company’s research facility in Birmingham, Alabama expires October 31, 2026. Rent expense for operating leases was $758, $617 and $721 in 2018, 2017, and 2016,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 Financing Obligation</w:t>
      </w:r>
    </w:p>
    <w:p>
      <w:pPr>
        <w:spacing w:after="0" w:line="225"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Based on the terms of the lease agreement for the new research facility in Birmingham, Alabama, the Company had construction period risks during the construction period and the Company was deemed the owner of the building (for accounting purposes only) during the construction period, which ended in 2016. Accordingly, the Company recorded an asset of $1,589 at December 31, 2015, representing the Company’s leased portion of the building and recorded a corresponding liability. Upon completion of leasehold improvement construction, the Company did not meet the sale-leaseback criteria for de-recognition of the building asset and liability. Therefore, the lease is accounted for as a financing obligation. The asset will be depreciated over the expected duration of the lease, and rental payments will be treated as principal and interest payments on the lease financing obligation liability. The underlying accounting for this transaction has no impact on cash flows associated with the underlying lease and or construction in process.</w:t>
      </w:r>
    </w:p>
    <w:p>
      <w:pPr>
        <w:spacing w:after="0" w:line="167"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At December 31, 2018 and 2017, the lease financing obligation balance was $2,703 and $2,704, respectively and was recorded as a long-term liability on the Consolidated Balance Sheets. The remaining future minimum payments under the lease financing obligation are $3,890.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480" w:firstLine="492"/>
        <w:spacing w:after="0" w:line="264" w:lineRule="auto"/>
        <w:rPr>
          <w:sz w:val="20"/>
          <w:szCs w:val="20"/>
          <w:color w:val="auto"/>
        </w:rPr>
      </w:pPr>
      <w:r>
        <w:rPr>
          <w:rFonts w:ascii="Arial" w:cs="Arial" w:eastAsia="Arial" w:hAnsi="Arial"/>
          <w:sz w:val="18"/>
          <w:szCs w:val="18"/>
          <w:color w:val="auto"/>
        </w:rPr>
        <w:t>In March 2017, the Company completed a public offering of 6,061 shares of its common stock at a price of $8.50 per share, which included the underwriters’ overallotment option to purchase additional shares. Net proceeds were approximately $47,750 after deducting underwriting discounts and offering expenses.</w:t>
      </w:r>
    </w:p>
    <w:p>
      <w:pPr>
        <w:spacing w:after="0" w:line="181" w:lineRule="exact"/>
        <w:rPr>
          <w:sz w:val="20"/>
          <w:szCs w:val="20"/>
          <w:color w:val="auto"/>
        </w:rPr>
      </w:pPr>
    </w:p>
    <w:p>
      <w:pPr>
        <w:ind w:right="220" w:firstLine="492"/>
        <w:spacing w:after="0" w:line="264" w:lineRule="auto"/>
        <w:rPr>
          <w:sz w:val="20"/>
          <w:szCs w:val="20"/>
          <w:color w:val="auto"/>
        </w:rPr>
      </w:pPr>
      <w:r>
        <w:rPr>
          <w:rFonts w:ascii="Arial" w:cs="Arial" w:eastAsia="Arial" w:hAnsi="Arial"/>
          <w:sz w:val="18"/>
          <w:szCs w:val="18"/>
          <w:color w:val="auto"/>
        </w:rPr>
        <w:t>In September 2017, the Company completed a public offering of 17,864 shares of its common stock at a price of $5.15 per share, which included the underwriters’ overallotment option to purchase additional shares. Net proceeds were approximately $86,250 after deducting underwriting discounts and offering expenses.</w:t>
      </w:r>
    </w:p>
    <w:p>
      <w:pPr>
        <w:spacing w:after="0" w:line="181" w:lineRule="exact"/>
        <w:rPr>
          <w:sz w:val="20"/>
          <w:szCs w:val="20"/>
          <w:color w:val="auto"/>
        </w:rPr>
      </w:pPr>
    </w:p>
    <w:p>
      <w:pPr>
        <w:ind w:right="80" w:firstLine="492"/>
        <w:spacing w:after="0" w:line="264" w:lineRule="auto"/>
        <w:rPr>
          <w:sz w:val="20"/>
          <w:szCs w:val="20"/>
          <w:color w:val="auto"/>
        </w:rPr>
      </w:pPr>
      <w:r>
        <w:rPr>
          <w:rFonts w:ascii="Arial" w:cs="Arial" w:eastAsia="Arial" w:hAnsi="Arial"/>
          <w:sz w:val="18"/>
          <w:szCs w:val="18"/>
          <w:color w:val="auto"/>
        </w:rPr>
        <w:t>On November 8, 2017, the Company filed a $200,000 shelf registration statement on Form S-3 with the SEC. This shelf registration statement became effective on December 12, 2017 and allows the Company to sell securities, including common stock, preferred stock, depository shares, stock purchase contracts, warrants and units, from time to time at prices and on terms to be determined at the time of sale.</w:t>
      </w:r>
    </w:p>
    <w:p>
      <w:pPr>
        <w:spacing w:after="0" w:line="181" w:lineRule="exact"/>
        <w:rPr>
          <w:sz w:val="20"/>
          <w:szCs w:val="20"/>
          <w:color w:val="auto"/>
        </w:rPr>
      </w:pPr>
    </w:p>
    <w:p>
      <w:pPr>
        <w:ind w:right="220" w:firstLine="492"/>
        <w:spacing w:after="0" w:line="259" w:lineRule="auto"/>
        <w:rPr>
          <w:sz w:val="20"/>
          <w:szCs w:val="20"/>
          <w:color w:val="auto"/>
        </w:rPr>
      </w:pPr>
      <w:r>
        <w:rPr>
          <w:rFonts w:ascii="Arial" w:cs="Arial" w:eastAsia="Arial" w:hAnsi="Arial"/>
          <w:sz w:val="18"/>
          <w:szCs w:val="18"/>
          <w:color w:val="auto"/>
        </w:rPr>
        <w:t>On August 6, 2018, the Company completed an underwritten public offering of 10,455 shares of its common stock, offered at a price to the public of $5.50 per share, including shares issued pursuant to the underwriters’ 30-day option to purchase additional shares, which was exercised in full. The net proceeds from this offering to the Company were approximately $53,400 after deducting underwriting discounts and commissions and estimated offering expenses.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color w:val="auto"/>
        </w:rPr>
        <w:t>As of December 31, 2018, the Company had two stock-based employee compensation plans, the Amended and Restated Stock Incentive Plan (“Incentive Plan”) and the Employee Stock Purchase Plan (“ESPP”). The Incentive Plan was amended and restated in September 2018 and approved by the Company’s stockholders in October 2018. The ESPP was amended and restated in March 2014 and approved by the Company’s stockholders in May 2014. Stock-based compensation expense of $9,396 ($9,223 of expense related to the Incentive Plan, $173 of expense related to the ESPP) was recognized during 2018, while $12,621 ($12,421 of expense related to the Incentive Plan, $200 of expense related to the ESPP) was recognized during 2017, and $8,487 ($8,340 of expense related to the Incentive Plan, $147 of expense related to the ESPP) was recognized during 2016.</w:t>
      </w:r>
    </w:p>
    <w:p>
      <w:pPr>
        <w:spacing w:after="0" w:line="178"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Company accounts for stock-based compensation in accordance with FASB authoritative guidance regarding share-based payments. Total stock-based compensation was allocated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6,867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2,529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2,399</w:t>
            </w: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9,396</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8,487</w:t>
            </w:r>
          </w:p>
        </w:tc>
      </w:tr>
      <w:tr>
        <w:trPr>
          <w:trHeight w:val="20"/>
        </w:trPr>
        <w:tc>
          <w:tcPr>
            <w:tcW w:w="6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The Company grants stock option awards and restricted stock unit awards to its employees, directors, and consultants under the Incentive Plan. Under the Incentive Plan, stock option awards are granted with an exercise price equal to the market price of the Company’s stock at the date of grant. Commencing March 1, 2011, stock option awards and restricted stock units granted to employees generally vest 25% each year until fully vested after four years. In August 2013 and December 2014, the Company issued 1,032 and 1,250 performance-based stock options, respectively. These awards vest upon successful completion of specific development milestones. As of December 31, 2018, 75% of the August 2013 grants have vested based upon achievement of three milestones. As of December 31, 2018, 30% of the December 2014 grants have vested. Thus, as of December 31, 2018, 25% of the August 2013 performance-based grants and 70% of the December 2014 performance-based grants remain unvested and no compensation expense has been recognized for these portions of the previously issued performance-based grants. Stock option awards granted to non-employee directors of the Company generally vest monthly over one year. All stock option awards have contractual terms of 5 to 10 years. The vesting exercise provisions of all awards granted under the Incentive Plan are subject to acceleration in the event of certain stockholder-approved transactions, or upon the occurrence of a change in control as defined in the Incentive Plan.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500"/>
              <w:spacing w:after="0"/>
              <w:rPr>
                <w:sz w:val="20"/>
                <w:szCs w:val="20"/>
                <w:color w:val="auto"/>
              </w:rPr>
            </w:pPr>
            <w:r>
              <w:rPr>
                <w:rFonts w:ascii="Arial" w:cs="Arial" w:eastAsia="Arial" w:hAnsi="Arial"/>
                <w:sz w:val="18"/>
                <w:szCs w:val="18"/>
                <w:color w:val="auto"/>
              </w:rPr>
              <w:t>Related activity under the Incentive Plan is as follows: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6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4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400" w:type="dxa"/>
            <w:vAlign w:val="bottom"/>
          </w:tcPr>
          <w:p>
            <w:pPr>
              <w:spacing w:after="0"/>
              <w:rPr>
                <w:sz w:val="18"/>
                <w:szCs w:val="18"/>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Awards</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40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w:t>
            </w:r>
          </w:p>
        </w:tc>
        <w:tc>
          <w:tcPr>
            <w:tcW w:w="1580" w:type="dxa"/>
            <w:vAlign w:val="bottom"/>
          </w:tcPr>
          <w:p>
            <w:pPr>
              <w:jc w:val="right"/>
              <w:ind w:right="23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6"/>
              </w:rPr>
              <w:t>Price</w:t>
            </w:r>
          </w:p>
        </w:tc>
      </w:tr>
      <w:tr>
        <w:trPr>
          <w:trHeight w:val="210"/>
        </w:trPr>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6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10,671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Restricted stock awards cancelled</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12,095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6.55</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amendment</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Restricted stock awards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cancelled</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(3,915)</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3,915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3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 awards cancelled</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1,120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9.72</w:t>
            </w: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awards 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Restricted stock awards cancelled</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w:t>
            </w:r>
          </w:p>
        </w:tc>
      </w:tr>
      <w:tr>
        <w:trPr>
          <w:trHeight w:val="230"/>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w:t>
            </w: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Balance at December 31, 2018</w:t>
            </w:r>
          </w:p>
        </w:tc>
        <w:tc>
          <w:tcPr>
            <w:tcW w:w="1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17,491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6.49</w:t>
            </w:r>
          </w:p>
        </w:tc>
      </w:tr>
      <w:tr>
        <w:trPr>
          <w:trHeight w:val="20"/>
        </w:trPr>
        <w:tc>
          <w:tcPr>
            <w:tcW w:w="64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663" w:gutter="0" w:footer="0" w:header="0"/>
          <w:type w:val="continuous"/>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2018, there were 31 restricted stock unit awards outstanding.</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For stock option awards granted under the Incentive Plan during 2018, 2017 and 2016, the fair value was estimated on the date of grant using a Black-Scholes option pricing model and the assumptions noted in the table below. The weighted average grant date fair value of these awards granted during 2018, 2017 and 2016 was $4.92, $3.63 and $2.17, respectively. The fair value of the stock option awards is amortized to expense over the vesting periods using a straight-line expense attribution method. The following explanations describe the assumptions used by the Company to value the stock option awards granted during 2018, 2017, and 2016.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volatility over the most recent period corresponding with the expected life. The Company has assumed no expected dividend yield, as dividends have never been paid to stockholders and will not be for the foreseeable future. The weighted average risk-free interest rate is the implied yield currently available on zero-coupon government issues with a remaining term equal to the expected term.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w w:val="94"/>
              </w:rPr>
              <w:t>Weighted Average Assumptions for Stock Option Awards Granted under the Incentive Plan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46"/>
        </w:trPr>
        <w:tc>
          <w:tcPr>
            <w:tcW w:w="7420" w:type="dxa"/>
            <w:vAlign w:val="bottom"/>
            <w:gridSpan w:val="2"/>
          </w:tcPr>
          <w:p>
            <w:pPr>
              <w:ind w:left="694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total intrinsic value of stock option awards exercised under the Incentive Plan was $4,504 during 2018, $1,964 during 2017 and $339 during 2016. The intrinsic value represents the total proceeds (fair market value at the date of exercise, less the exercise price, times the number of stock option awards exercised) received by all individuals who exercised stock option awards during the period.</w:t>
      </w:r>
    </w:p>
    <w:p>
      <w:pPr>
        <w:spacing w:after="0" w:line="181"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The following table summarizes, at December 31, 2018, by price range: (1) for stock option awards outstanding under the Incentive Plan, the number of stock option awards outstanding, their weighted average remaining life and their weighted average exercise price; and (2) for stock option awards exercisable under the Plan, the number of stock option awards exercisable and their weighted average exercise price: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790"/>
              <w:spacing w:after="0"/>
              <w:rPr>
                <w:sz w:val="20"/>
                <w:szCs w:val="20"/>
                <w:color w:val="auto"/>
              </w:rPr>
            </w:pPr>
            <w:r>
              <w:rPr>
                <w:rFonts w:ascii="Arial" w:cs="Arial" w:eastAsia="Arial" w:hAnsi="Arial"/>
                <w:sz w:val="18"/>
                <w:szCs w:val="18"/>
                <w:b w:val="1"/>
                <w:bCs w:val="1"/>
                <w:color w:val="auto"/>
              </w:rPr>
              <w:t>Outstanding</w:t>
            </w:r>
          </w:p>
        </w:tc>
        <w:tc>
          <w:tcPr>
            <w:tcW w:w="7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Exercisable</w:t>
            </w:r>
          </w:p>
        </w:tc>
        <w:tc>
          <w:tcPr>
            <w:tcW w:w="120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left="390"/>
              <w:spacing w:after="0" w:line="191" w:lineRule="exact"/>
              <w:rPr>
                <w:sz w:val="20"/>
                <w:szCs w:val="20"/>
                <w:color w:val="auto"/>
              </w:rPr>
            </w:pPr>
            <w:r>
              <w:rPr>
                <w:rFonts w:ascii="Arial" w:cs="Arial" w:eastAsia="Arial" w:hAnsi="Arial"/>
                <w:sz w:val="18"/>
                <w:szCs w:val="18"/>
                <w:b w:val="1"/>
                <w:bCs w:val="1"/>
                <w:color w:val="auto"/>
                <w:w w:val="88"/>
              </w:rPr>
              <w:t>Weighted</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left="650"/>
              <w:spacing w:after="0" w:line="191" w:lineRule="exact"/>
              <w:rPr>
                <w:sz w:val="20"/>
                <w:szCs w:val="20"/>
                <w:color w:val="auto"/>
              </w:rPr>
            </w:pPr>
            <w:r>
              <w:rPr>
                <w:rFonts w:ascii="Arial" w:cs="Arial" w:eastAsia="Arial" w:hAnsi="Arial"/>
                <w:sz w:val="18"/>
                <w:szCs w:val="18"/>
                <w:b w:val="1"/>
                <w:bCs w:val="1"/>
                <w:color w:val="auto"/>
                <w:w w:val="91"/>
              </w:rPr>
              <w:t>Weighted</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center"/>
              <w:ind w:right="290"/>
              <w:spacing w:after="0" w:line="191" w:lineRule="exact"/>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0"/>
              </w:rPr>
              <w:t>Average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7"/>
              </w:rPr>
              <w:t>Average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Remaining</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Exercise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Exercise</w:t>
            </w:r>
          </w:p>
        </w:tc>
      </w:tr>
      <w:tr>
        <w:trPr>
          <w:trHeight w:val="194"/>
        </w:trPr>
        <w:tc>
          <w:tcPr>
            <w:tcW w:w="6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Range</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gridSpan w:val="2"/>
          </w:tcPr>
          <w:p>
            <w:pPr>
              <w:ind w:left="300"/>
              <w:spacing w:after="0" w:line="194" w:lineRule="exact"/>
              <w:rPr>
                <w:sz w:val="20"/>
                <w:szCs w:val="20"/>
                <w:color w:val="auto"/>
              </w:rPr>
            </w:pPr>
            <w:r>
              <w:rPr>
                <w:rFonts w:ascii="Arial" w:cs="Arial" w:eastAsia="Arial" w:hAnsi="Arial"/>
                <w:sz w:val="18"/>
                <w:szCs w:val="18"/>
                <w:b w:val="1"/>
                <w:bCs w:val="1"/>
                <w:color w:val="auto"/>
              </w:rPr>
              <w:t>Number</w:t>
            </w:r>
          </w:p>
        </w:tc>
        <w:tc>
          <w:tcPr>
            <w:tcW w:w="1360" w:type="dxa"/>
            <w:vAlign w:val="bottom"/>
          </w:tcPr>
          <w:p>
            <w:pPr>
              <w:jc w:val="center"/>
              <w:ind w:left="390"/>
              <w:spacing w:after="0" w:line="194" w:lineRule="exact"/>
              <w:rPr>
                <w:sz w:val="20"/>
                <w:szCs w:val="20"/>
                <w:color w:val="auto"/>
              </w:rPr>
            </w:pPr>
            <w:r>
              <w:rPr>
                <w:rFonts w:ascii="Arial" w:cs="Arial" w:eastAsia="Arial" w:hAnsi="Arial"/>
                <w:sz w:val="18"/>
                <w:szCs w:val="18"/>
                <w:b w:val="1"/>
                <w:bCs w:val="1"/>
                <w:color w:val="auto"/>
                <w:w w:val="99"/>
              </w:rPr>
              <w:t>Life</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center"/>
              <w:ind w:left="670"/>
              <w:spacing w:after="0" w:line="194" w:lineRule="exact"/>
              <w:rPr>
                <w:sz w:val="20"/>
                <w:szCs w:val="20"/>
                <w:color w:val="auto"/>
              </w:rPr>
            </w:pPr>
            <w:r>
              <w:rPr>
                <w:rFonts w:ascii="Arial" w:cs="Arial" w:eastAsia="Arial" w:hAnsi="Arial"/>
                <w:sz w:val="18"/>
                <w:szCs w:val="18"/>
                <w:b w:val="1"/>
                <w:bCs w:val="1"/>
                <w:color w:val="auto"/>
                <w:w w:val="90"/>
              </w:rPr>
              <w:t>Price</w:t>
            </w: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center"/>
              <w:ind w:right="290"/>
              <w:spacing w:after="0" w:line="194" w:lineRule="exact"/>
              <w:rPr>
                <w:sz w:val="20"/>
                <w:szCs w:val="20"/>
                <w:color w:val="auto"/>
              </w:rPr>
            </w:pPr>
            <w:r>
              <w:rPr>
                <w:rFonts w:ascii="Arial" w:cs="Arial" w:eastAsia="Arial" w:hAnsi="Arial"/>
                <w:sz w:val="18"/>
                <w:szCs w:val="18"/>
                <w:b w:val="1"/>
                <w:bCs w:val="1"/>
                <w:color w:val="auto"/>
                <w:w w:val="86"/>
              </w:rPr>
              <w:t>Price</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0</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79"/>
              </w:rPr>
              <w:t>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4.1</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3</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tcPr>
          <w:p>
            <w:pPr>
              <w:jc w:val="center"/>
              <w:ind w:right="190"/>
              <w:spacing w:after="0"/>
              <w:rPr>
                <w:sz w:val="20"/>
                <w:szCs w:val="20"/>
                <w:color w:val="auto"/>
              </w:rPr>
            </w:pPr>
            <w:r>
              <w:rPr>
                <w:rFonts w:ascii="Arial" w:cs="Arial" w:eastAsia="Arial" w:hAnsi="Arial"/>
                <w:sz w:val="18"/>
                <w:szCs w:val="18"/>
                <w:b w:val="1"/>
                <w:bCs w:val="1"/>
                <w:color w:val="auto"/>
                <w:w w:val="79"/>
              </w:rPr>
              <w:t>6</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7,778</w:t>
            </w:r>
          </w:p>
        </w:tc>
        <w:tc>
          <w:tcPr>
            <w:tcW w:w="1360" w:type="dxa"/>
            <w:vAlign w:val="bottom"/>
          </w:tcPr>
          <w:p>
            <w:pPr>
              <w:spacing w:after="0"/>
              <w:rPr>
                <w:sz w:val="18"/>
                <w:szCs w:val="18"/>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6.8</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2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3,937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shd w:val="clear" w:color="auto" w:fill="CCEEFF"/>
          </w:tcPr>
          <w:p>
            <w:pPr>
              <w:jc w:val="center"/>
              <w:ind w:right="190"/>
              <w:spacing w:after="0"/>
              <w:rPr>
                <w:sz w:val="20"/>
                <w:szCs w:val="20"/>
                <w:color w:val="auto"/>
              </w:rPr>
            </w:pPr>
            <w:r>
              <w:rPr>
                <w:rFonts w:ascii="Arial" w:cs="Arial" w:eastAsia="Arial" w:hAnsi="Arial"/>
                <w:sz w:val="18"/>
                <w:szCs w:val="18"/>
                <w:b w:val="1"/>
                <w:bCs w:val="1"/>
                <w:color w:val="auto"/>
                <w:w w:val="79"/>
              </w:rPr>
              <w:t>9</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4,768</w:t>
            </w: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8.7</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2,980</w:t>
            </w:r>
          </w:p>
        </w:tc>
        <w:tc>
          <w:tcPr>
            <w:tcW w:w="1360" w:type="dxa"/>
            <w:vAlign w:val="bottom"/>
          </w:tcPr>
          <w:p>
            <w:pPr>
              <w:spacing w:after="0"/>
              <w:rPr>
                <w:sz w:val="18"/>
                <w:szCs w:val="18"/>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6.5</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12</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604</w:t>
            </w:r>
          </w:p>
        </w:tc>
        <w:tc>
          <w:tcPr>
            <w:tcW w:w="13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6.0</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15</w:t>
            </w:r>
          </w:p>
        </w:tc>
        <w:tc>
          <w:tcPr>
            <w:tcW w:w="340" w:type="dxa"/>
            <w:vAlign w:val="bottom"/>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18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1360" w:type="dxa"/>
            <w:vAlign w:val="bottom"/>
          </w:tcPr>
          <w:p>
            <w:pPr>
              <w:spacing w:after="0"/>
              <w:rPr>
                <w:sz w:val="18"/>
                <w:szCs w:val="18"/>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6.5</w:t>
            </w: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2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15.39</w:t>
            </w:r>
          </w:p>
        </w:tc>
      </w:tr>
      <w:tr>
        <w:trPr>
          <w:trHeight w:val="210"/>
        </w:trPr>
        <w:tc>
          <w:tcPr>
            <w:tcW w:w="20" w:type="dxa"/>
            <w:vAlign w:val="bottom"/>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0</w:t>
            </w:r>
          </w:p>
        </w:tc>
        <w:tc>
          <w:tcPr>
            <w:tcW w:w="3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w:t>
            </w:r>
          </w:p>
        </w:tc>
        <w:tc>
          <w:tcPr>
            <w:tcW w:w="640" w:type="dxa"/>
            <w:vAlign w:val="bottom"/>
            <w:tcBorders>
              <w:top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89"/>
              </w:rPr>
              <w:t>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17,491</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7.0</w:t>
            </w:r>
          </w:p>
        </w:tc>
        <w:tc>
          <w:tcPr>
            <w:tcW w:w="2140" w:type="dxa"/>
            <w:vAlign w:val="bottom"/>
            <w:tcBorders>
              <w:top w:val="single" w:sz="8" w:color="CCEEFF"/>
            </w:tcBorders>
            <w:gridSpan w:val="2"/>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8,196</w:t>
            </w:r>
          </w:p>
        </w:tc>
        <w:tc>
          <w:tcPr>
            <w:tcW w:w="600" w:type="dxa"/>
            <w:vAlign w:val="bottom"/>
            <w:tcBorders>
              <w:top w:val="single" w:sz="8" w:color="CCEEFF"/>
            </w:tcBorders>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weighted average remaining contractual life of stock option awards exercisable under the Incentive Plan at December 31, 2018 was 5.3 years.</w:t>
      </w:r>
    </w:p>
    <w:p>
      <w:pPr>
        <w:spacing w:after="0" w:line="24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The aggregate intrinsic value of stock option awards outstanding and exercisable under the Incentive Plan at December 31, 2018 was $22,891. The aggregate intrinsic value represents the value (the period’s closing market price, less the exercise price, times the number of in-the-money stock option awards) that would have been received by all stock option award holders under the Incentive Plan had they exercised their stock option awards at the end of the year.</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total fair value of the stock option awards vested under the Incentive Plan was $8,952 during 2018, $9,310 during 2017 and $6,380 during 2016.</w:t>
      </w:r>
    </w:p>
    <w:p>
      <w:pPr>
        <w:spacing w:after="0" w:line="248"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As of December 31, 2018, the number of stock option awards vested and expected to vest under the Incentive Plan is 15,928. The weighted average exercise price of these stock option awards is $6.43 and their weighted average remaining contractual life is 7.0 years.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changes in the number and weighted-average grant-date fair value of non-vested stock option awards during 2018:</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Balance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Stock option awards granted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option awards vested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option awards forfeited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December 31, 2018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Non-Vested</w:t>
      </w:r>
    </w:p>
    <w:p>
      <w:pPr>
        <w:spacing w:after="0" w:line="27"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Stock Option</w:t>
      </w:r>
    </w:p>
    <w:p>
      <w:pPr>
        <w:spacing w:after="0" w:line="32"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Awards</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7,202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-130810</wp:posOffset>
            </wp:positionV>
            <wp:extent cx="72466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4,272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-5340985</wp:posOffset>
            </wp:positionH>
            <wp:positionV relativeFrom="paragraph">
              <wp:posOffset>14605</wp:posOffset>
            </wp:positionV>
            <wp:extent cx="72466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9,295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31750</wp:posOffset>
            </wp:positionV>
            <wp:extent cx="10204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left="-79"/>
        <w:spacing w:after="0" w:line="257" w:lineRule="auto"/>
        <w:rPr>
          <w:sz w:val="20"/>
          <w:szCs w:val="20"/>
          <w:color w:val="auto"/>
        </w:rPr>
      </w:pPr>
      <w:r>
        <w:rPr>
          <w:rFonts w:ascii="Arial" w:cs="Arial" w:eastAsia="Arial" w:hAnsi="Arial"/>
          <w:sz w:val="18"/>
          <w:szCs w:val="18"/>
          <w:b w:val="1"/>
          <w:bCs w:val="1"/>
          <w:color w:val="auto"/>
        </w:rPr>
        <w:t>Weighted Average Grant-Date Fair Value</w:t>
      </w:r>
    </w:p>
    <w:p>
      <w:pPr>
        <w:spacing w:after="0" w:line="2" w:lineRule="exact"/>
        <w:rPr>
          <w:sz w:val="20"/>
          <w:szCs w:val="20"/>
          <w:color w:val="auto"/>
        </w:rPr>
      </w:pPr>
    </w:p>
    <w:p>
      <w:pPr>
        <w:ind w:left="1160" w:hanging="1160"/>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4.56</w:t>
      </w:r>
    </w:p>
    <w:p>
      <w:pPr>
        <w:spacing w:after="0" w:line="34"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4.92</w:t>
      </w:r>
    </w:p>
    <w:p>
      <w:pPr>
        <w:spacing w:after="0" w:line="20"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4.33</w:t>
      </w:r>
    </w:p>
    <w:p>
      <w:pPr>
        <w:spacing w:after="0" w:line="20"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4.12</w:t>
      </w:r>
    </w:p>
    <w:p>
      <w:pPr>
        <w:spacing w:after="0" w:line="47" w:lineRule="exact"/>
        <w:rPr>
          <w:sz w:val="20"/>
          <w:szCs w:val="20"/>
          <w:color w:val="auto"/>
        </w:rPr>
      </w:pPr>
    </w:p>
    <w:p>
      <w:pPr>
        <w:ind w:left="1160" w:hanging="1160"/>
        <w:spacing w:after="0"/>
        <w:tabs>
          <w:tab w:leader="none" w:pos="11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10033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7700" w:space="720"/>
            <w:col w:w="1260" w:space="160"/>
            <w:col w:w="1580"/>
          </w:cols>
          <w:pgMar w:left="240" w:top="337" w:right="239" w:bottom="1440" w:gutter="0" w:footer="0" w:header="0"/>
          <w:type w:val="continuous"/>
        </w:sectPr>
      </w:pPr>
    </w:p>
    <w:p>
      <w:pPr>
        <w:spacing w:after="0" w:line="6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of December 31, 2018, there was approximately $28,284 of total unrecognized compensation cost related to non-vested employee stock option awards and restricted stock units granted by the Company. That cost is expected to be recognized as follows: $10,423 in 2019, $7,779 in 2020, $5,791 in 2021 and $4,291 in 2022.</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The Company has reserved a total of 1,475 shares of common stock to be purchased under the ESPP, of which 234 shares remain available for purchase at December 31, 2018.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w:t>
      </w:r>
    </w:p>
    <w:p>
      <w:pPr>
        <w:spacing w:after="0" w:line="154"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There were 92, 95 and 75 shares of common stock purchased under the ESPP in 2018, 2017, and 2016, respectively, at a weighted average price per share of $3.83, $3.61 and $4.36, respectively. Expense of $173, $200 and $147 related to the ESPP was recognized during 2018, 2017, and 2016, respectively. Compensation expense for shares purchased under the ESPP related to the purchase discount and the “look-back” option were determined using a Black-Scholes option pricing model. The weighted average grant date fair values of shares granted under the ESPP during 2018, 2017, and 2016, were $1.89, $2.18 and $1.95, respectively.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has incurred net losses since inception and, consequently, has not recorded any U.S. Federal and state income tax expense or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differences between the Company’s effective tax rate and the statutory tax rate in 2018, 2017, and 2016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r>
      <w:tr>
        <w:trPr>
          <w:trHeight w:val="182"/>
        </w:trPr>
        <w:tc>
          <w:tcPr>
            <w:tcW w:w="64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Income tax benefit at federal statutory rate (21% for 2018 and 2017 and 35 % for</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3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(23,024)</w:t>
            </w:r>
          </w:p>
        </w:tc>
        <w:tc>
          <w:tcPr>
            <w:tcW w:w="44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(19,300)</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State and local income taxes net of federal tax benefit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Rate change</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Expiration of attribute carryforwards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Effect of ASU 2016-09</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Orphan drug credit</w:t>
            </w:r>
          </w:p>
        </w:tc>
        <w:tc>
          <w:tcPr>
            <w:tcW w:w="3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1,798</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30"/>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26,040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19,838</w:t>
            </w:r>
          </w:p>
        </w:tc>
      </w:tr>
      <w:tr>
        <w:trPr>
          <w:trHeight w:val="223"/>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December 2017, the Tax Cuts and Jobs Act (“TCJA”), was signed into law. Among other things, the TCJA permanently lowers the corporate federal income tax rate to 21% from the existing maximum rate of 35%, effective for tax years including or commencing January 1, 2018. As a result of the reduction of the corporate federal income tax rate to 21%, U.S. GAAP requires companies to revalue their deferred tax assets and deferred tax liabilities as of the date of enactment, with the resulting tax effects accounted for in the reporting period of enactment. This revaluation resulted in a provision of $73,474 to income tax expense in continuing operations and a corresponding reduction in the valuation allowance. As a result, there was no impact on the Company’s Consolidated Statements of Operations from the reduction in tax rate. As of December 31, 2018, the Company has completed its accounting of the tax effects from the enactment of the TCJA. No changes were made to the provisional amounts previously recorded.</w:t>
      </w: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Company adopted ASU 2016-09 during the quarter ended March 31, 2017. As a result of the adoption, the net federal and state operating losses deferred tax assets increased by $5,949 and were offset by a corresponding increase in the valuation allowance. The adoption of ASU 2016-09 had no impact on the Company’s Consolidated Balance Sheets or Consolidated Statements of Operations.</w:t>
      </w:r>
    </w:p>
    <w:p>
      <w:pPr>
        <w:spacing w:after="0" w:line="181"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Company recognizes the impact of a tax position in its financial statements if it is more likely than not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 underlying credit. Any changes to the Company’s unrecognized tax benefits are offset by an adjustment to the valuation allowance and there would be no impact on the Company’s financial statements. The Company does not expect its unrecognized tax benefits to change significantly over the next 12 months.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420"/>
              <w:spacing w:after="0"/>
              <w:rPr>
                <w:sz w:val="20"/>
                <w:szCs w:val="20"/>
                <w:color w:val="auto"/>
              </w:rPr>
            </w:pPr>
            <w:r>
              <w:rPr>
                <w:rFonts w:ascii="Arial" w:cs="Arial" w:eastAsia="Arial" w:hAnsi="Arial"/>
                <w:sz w:val="18"/>
                <w:szCs w:val="18"/>
                <w:color w:val="auto"/>
                <w:w w:val="96"/>
              </w:rPr>
              <w:t>A reconciliation of the beginning and ending amount of unrecognized tax benefits is as follows:</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4,750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4,255</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Additions to current period tax positions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prior period tax positions</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Reductions to prior period tax provisions</w:t>
            </w:r>
          </w:p>
        </w:tc>
        <w:tc>
          <w:tcPr>
            <w:tcW w:w="4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4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5,976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4,750</w:t>
            </w:r>
          </w:p>
        </w:tc>
      </w:tr>
      <w:tr>
        <w:trPr>
          <w:trHeight w:val="20"/>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Company’s ability to utilize the net operating loss and tax credit carryforwards in the future may be subject to substantial restrictions in the event of past or future ownership changes as defined in Section 382 of the Internal Revenue Code of 1986, as amended and similar state tax law.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tcPr>
          <w:p>
            <w:pPr>
              <w:ind w:left="400"/>
              <w:spacing w:after="0"/>
              <w:rPr>
                <w:sz w:val="20"/>
                <w:szCs w:val="20"/>
                <w:color w:val="auto"/>
              </w:rPr>
            </w:pPr>
            <w:r>
              <w:rPr>
                <w:rFonts w:ascii="Arial" w:cs="Arial" w:eastAsia="Arial" w:hAnsi="Arial"/>
                <w:sz w:val="18"/>
                <w:szCs w:val="18"/>
                <w:color w:val="auto"/>
                <w:w w:val="98"/>
              </w:rPr>
              <w:t>Significant components of the Company’s deferred tax assets and liabilities are as follows:</w:t>
            </w: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5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Net federal and state operating losses</w:t>
            </w:r>
          </w:p>
        </w:tc>
        <w:tc>
          <w:tcPr>
            <w:tcW w:w="9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137,234</w:t>
            </w:r>
          </w:p>
        </w:tc>
        <w:tc>
          <w:tcPr>
            <w:tcW w:w="100" w:type="dxa"/>
            <w:vAlign w:val="bottom"/>
          </w:tcPr>
          <w:p>
            <w:pPr>
              <w:spacing w:after="0"/>
              <w:rPr>
                <w:sz w:val="18"/>
                <w:szCs w:val="18"/>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117,787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credits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209,109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assets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Foreign currency derivative</w:t>
            </w:r>
          </w:p>
        </w:tc>
        <w:tc>
          <w:tcPr>
            <w:tcW w:w="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5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full valuation allowance against the net deferred tax assets due to uncertainties as to their ultimate realization. The valuation allowance will remain at the full amount of the deferred tax assets until it is more likely than not that the related tax benefits will be realized. The Company’s valuation allowance increased by $26,040 in 2018, decreased by $42,625 in 2017 primarily because of the remeasurement required by TCJA and increased by $19,837 in 2016.</w:t>
      </w:r>
    </w:p>
    <w:p>
      <w:pPr>
        <w:spacing w:after="0" w:line="193" w:lineRule="exact"/>
        <w:rPr>
          <w:sz w:val="20"/>
          <w:szCs w:val="20"/>
          <w:color w:val="auto"/>
        </w:rPr>
      </w:pPr>
    </w:p>
    <w:p>
      <w:pPr>
        <w:jc w:val="both"/>
        <w:ind w:right="260" w:firstLine="492"/>
        <w:spacing w:after="0" w:line="312" w:lineRule="auto"/>
        <w:rPr>
          <w:sz w:val="20"/>
          <w:szCs w:val="20"/>
          <w:color w:val="auto"/>
        </w:rPr>
      </w:pPr>
      <w:r>
        <w:rPr>
          <w:rFonts w:ascii="Arial" w:cs="Arial" w:eastAsia="Arial" w:hAnsi="Arial"/>
          <w:sz w:val="16"/>
          <w:szCs w:val="16"/>
          <w:color w:val="auto"/>
        </w:rPr>
        <w:t>As of December 31, 2018, the Company had federal operating loss carryforwards of $569,314, state operating loss carryforwards of $496,816, and research and development and orphan drug credit carryforwards of $65,485, which will expire at various dates from 2019 through 2037. The federal losses begin to expire in 2019, the state losses begin to expire in 2019 and the research and development credit carryforwards begin to expire in 2019.</w:t>
      </w:r>
    </w:p>
    <w:p>
      <w:pPr>
        <w:spacing w:after="0" w:line="147"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Tax years 2015-2017 remain open to examination by the major taxing jurisdictions to which the Company is subject. Additionally, years prior to 2015 are also open to examination to the extent of loss and credit carryforwards from those years. The Company recognizes interest and penalties accrued related to unrecognized tax benefits as components of its income tax provision. However, there were no provisions or accruals for interest and penalties in 2018, 2017 and 2016.</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5" w:name="page76"/>
    <w:bookmarkEnd w:id="75"/>
    <w:p>
      <w:pPr>
        <w:jc w:val="center"/>
        <w:ind w:right="2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401(k) Plan</w:t>
      </w:r>
    </w:p>
    <w:p>
      <w:pPr>
        <w:spacing w:after="0" w:line="229"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January 1991, the Company adopted an employee retirement plan (“401(k) Plan”) under Section 401(k) of the Internal Revenue Code covering all employees. Employee contributions may be made to the 401(k) Plan up to limits established by the Internal Revenue Service. Company matching contributions may be made at the discretion of the Board of Directors. The Company made matching contributions of $724, $664 and $504, in 2018,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Collaborative and Other Research and Development Contracts</w:t>
      </w:r>
    </w:p>
    <w:p>
      <w:pPr>
        <w:spacing w:after="0" w:line="229" w:lineRule="exact"/>
        <w:rPr>
          <w:sz w:val="20"/>
          <w:szCs w:val="20"/>
          <w:color w:val="auto"/>
        </w:rPr>
      </w:pPr>
    </w:p>
    <w:p>
      <w:pPr>
        <w:ind w:right="20" w:firstLine="492"/>
        <w:spacing w:after="0" w:line="273" w:lineRule="auto"/>
        <w:rPr>
          <w:sz w:val="20"/>
          <w:szCs w:val="20"/>
          <w:color w:val="auto"/>
        </w:rPr>
      </w:pPr>
      <w:r>
        <w:rPr>
          <w:rFonts w:ascii="Arial" w:cs="Arial" w:eastAsia="Arial" w:hAnsi="Arial"/>
          <w:sz w:val="17"/>
          <w:szCs w:val="17"/>
          <w:i w:val="1"/>
          <w:iCs w:val="1"/>
          <w:color w:val="auto"/>
        </w:rPr>
        <w:t xml:space="preserve">National Institute of Allergy and Infectious Diseases (“NIAID/HHS”). </w:t>
      </w:r>
      <w:r>
        <w:rPr>
          <w:rFonts w:ascii="Arial" w:cs="Arial" w:eastAsia="Arial" w:hAnsi="Arial"/>
          <w:sz w:val="17"/>
          <w:szCs w:val="17"/>
          <w:color w:val="auto"/>
        </w:rPr>
        <w:t>In September 2013, NIAID/HHS contracted with the Company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galidesivir as a treatment for Marburg virus disease. NIAID/HHS, part of the National Institutes of Health, made an initial award of $5,000 to the Company. The goals of this contract, including amendments, are to file IND applications for intravenous (“i.v.”) and intramuscular (“i.m.”) galidesivir for the treatment of Marburg virus disease and other hemorrhagic fever virus diseases, including Yellow Fever and Ebola virus disease, and to conduct an initial Phase 1 human clinical trial. As of December 31, 2018, the total NIAID/HHS contract amount to advance the program through the completion of the Phase I clinical program is $43,035. As of December 31, 2018, all options have been exercised under this contract.</w:t>
      </w:r>
    </w:p>
    <w:p>
      <w:pPr>
        <w:spacing w:after="0" w:line="178"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i w:val="1"/>
          <w:iCs w:val="1"/>
          <w:color w:val="auto"/>
        </w:rPr>
        <w:t xml:space="preserve">U.S. Department of Health and Human Services (“BARDA/HHS”). </w:t>
      </w:r>
      <w:r>
        <w:rPr>
          <w:rFonts w:ascii="Arial" w:cs="Arial" w:eastAsia="Arial" w:hAnsi="Arial"/>
          <w:sz w:val="18"/>
          <w:szCs w:val="18"/>
          <w:color w:val="auto"/>
        </w:rPr>
        <w:t>On March 31, 2015, the Company announced that BARDA/HHS had awarded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 contract for the 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December 31, 2018, a total of $20,574 has been awarded under exercised options within this contract.</w:t>
      </w:r>
    </w:p>
    <w:p>
      <w:pPr>
        <w:spacing w:after="0" w:line="188" w:lineRule="exact"/>
        <w:rPr>
          <w:sz w:val="20"/>
          <w:szCs w:val="20"/>
          <w:color w:val="auto"/>
        </w:rPr>
      </w:pPr>
    </w:p>
    <w:p>
      <w:pPr>
        <w:ind w:right="100" w:firstLine="492"/>
        <w:spacing w:after="0" w:line="257" w:lineRule="auto"/>
        <w:rPr>
          <w:sz w:val="20"/>
          <w:szCs w:val="20"/>
          <w:color w:val="auto"/>
        </w:rPr>
      </w:pPr>
      <w:r>
        <w:rPr>
          <w:rFonts w:ascii="Arial" w:cs="Arial" w:eastAsia="Arial" w:hAnsi="Arial"/>
          <w:sz w:val="18"/>
          <w:szCs w:val="18"/>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 is based on the Company’s performance, the timeliness and quality of deliverables, and other factors. The government has rights under certain contract clauses to terminate these contracts. These contracts are terminable by the government at any time for breach or without cause.</w:t>
      </w:r>
    </w:p>
    <w:p>
      <w:pPr>
        <w:spacing w:after="0" w:line="188"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i w:val="1"/>
          <w:iCs w:val="1"/>
          <w:color w:val="auto"/>
        </w:rPr>
        <w:t xml:space="preserve">Seqirus UK Limited (“SUL”). </w:t>
      </w:r>
      <w:r>
        <w:rPr>
          <w:rFonts w:ascii="Arial" w:cs="Arial" w:eastAsia="Arial" w:hAnsi="Arial"/>
          <w:sz w:val="18"/>
          <w:szCs w:val="18"/>
          <w:color w:val="auto"/>
        </w:rPr>
        <w:t>On June 16, 2015, the Company and SUL, a limited company organized under the laws of the United Kingdom and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The Company retains all rights and associated economics to procure pandemic stockpiling orders for RAPIVAB from the U.S. Government, while SUL has the right to pursue government stockpiling outside the U.S.</w:t>
      </w:r>
    </w:p>
    <w:p>
      <w:pPr>
        <w:spacing w:after="0" w:line="193" w:lineRule="exact"/>
        <w:rPr>
          <w:sz w:val="20"/>
          <w:szCs w:val="20"/>
          <w:color w:val="auto"/>
        </w:rPr>
      </w:pPr>
    </w:p>
    <w:p>
      <w:pPr>
        <w:ind w:right="20" w:firstLine="492"/>
        <w:spacing w:after="0" w:line="312" w:lineRule="auto"/>
        <w:rPr>
          <w:sz w:val="20"/>
          <w:szCs w:val="20"/>
          <w:color w:val="auto"/>
        </w:rPr>
      </w:pPr>
      <w:r>
        <w:rPr>
          <w:rFonts w:ascii="Arial" w:cs="Arial" w:eastAsia="Arial" w:hAnsi="Arial"/>
          <w:sz w:val="16"/>
          <w:szCs w:val="16"/>
          <w:color w:val="auto"/>
        </w:rPr>
        <w:t>Pursuant to the SUL Agreement, RAPIVAB will be commercialized by CSL’s subsidiary, SUL, which specializes in influenza prevention through the supply of seasonal and pandemic vaccine to global markets. SUL will manufacture, commercialize and exercise decision-making authority with respect to the development and commercialization of RAPIVAB within the Territory and be responsible for all related costs, including sales and promotion.</w:t>
      </w:r>
    </w:p>
    <w:p>
      <w:pPr>
        <w:spacing w:after="0" w:line="147"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Under the terms of the SUL Agreement, the Company is responsible for fulfilling all post-marketing approval commitments in connection with the FDA's approval of the NDA, and upon fulfillment will transfer ownership of and financial responsibility for the NDA to SUL. Pursuant to rights to sell ALPIVAB in the EU, the Company was also responsible for regulatory filings and interactions with the European Medicines Agency (“EMA”). In accordance with the SUL Agreement, the Company and SUL formed a joint steering committee, composed of an equal number of representatives from each party, to oversee, review and coordinate the conduct and progress of the commercialization of RAPIVAB in the Territory and any additional development. In October 2017, SUL transferred Canadian registration rights for RAPIVAB to the Company.</w:t>
      </w:r>
    </w:p>
    <w:p>
      <w:pPr>
        <w:spacing w:after="0" w:line="193"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Under the terms of the SUL Agreement, the Company has received an upfront payment of $33,740 and has achieved all development milestones under the contract totaling $12,000. The Company is entitled under the SUL Agreement to receive tiered royalties at a percentage rate beginning in the mid-teens contingent upon meeting minimum thresholds of net sales, as well as a low-thirties percentage of the gross profit from government stockpiling purchases made outside the U.S. Specifically, the Company receives tiered royalties at a percentage rate in the mid-teens to low-forties on net sales in the U.S. during a Contract Year (defined as July 1 - June 30) and tiered royalties at a percentage rate in the mid-teens to mid-twenties on net sales in the Territory, other than in the U.S., during a Calendar Year, each subject to certain downward adjustments for circumstance or events impacting the overall market opportunity. SUL's royalty payment obligations commence on the date of the SUL Agreement and expire, on a country-by-country basis, upon the later of (i) the expiration of legal exclusivity in such country and (ii) ten years from the date of the SUL Agreement (the "Royalty Term"). The Company developed peramivir under a license from UAB and will owe sublicense payments to them on any future milestone payments and/or royalties received by the Company from SUL.</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76" w:name="page77"/>
    <w:bookmarkEnd w:id="76"/>
    <w:p>
      <w:pPr>
        <w:jc w:val="center"/>
        <w:ind w:right="2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Company and SUL are engaged in a formal dispute resolution process, which has now entered arbitration proceedings. The dispute involves many items under the SUL Agreement including, but not limited to, the EMA approval milestone, which BioCryst maintains is due under the contract as well as appropriately commercializing peramivir in the Territory. Arbitration proceedings, like other legal proceedings, are inherently uncertain. As a result, there is no assurance that the Company will prevail in the arbitration.</w:t>
      </w:r>
    </w:p>
    <w:p>
      <w:pPr>
        <w:spacing w:after="0" w:line="18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i w:val="1"/>
          <w:iCs w:val="1"/>
          <w:color w:val="auto"/>
        </w:rPr>
        <w:t xml:space="preserve">Shionogi &amp; Co., Ltd. (“Shionogi”). </w:t>
      </w:r>
      <w:r>
        <w:rPr>
          <w:rFonts w:ascii="Arial" w:cs="Arial" w:eastAsia="Arial" w:hAnsi="Arial"/>
          <w:sz w:val="18"/>
          <w:szCs w:val="18"/>
          <w:color w:val="auto"/>
        </w:rPr>
        <w:t>In February 2007, the Company entered into an exclusive license agreement with Shionogi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them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93"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In December 2017, the Company, on behalf of Royalty Sub, instituted arbitration proceedings against Shionogi in order to resolve a dispute with Shionogi under the Shionogi Agreement regarding the achievement of sales milestones and escalating royalties. In the event that the Company prevails in the arbitration, any amounts realized in the arbitration or in respect of the milestone payments and escalating royalties that are the subject of the arbitration would be for the benefit of Royalty Sub and be used by Royalty Sub to service its obligations under the non-recourse PhaRMA Notes (except for any amounts realized by the Company in respect of royalties relating to sales to Japanese governmental entities, which amounts would be retained by the Company). The costs associated with the arbitration proceedings are expected to be paid out of the assets of Royalty Sub in accordance with the terms of the indenture and servicing agreement relating to the PhaRMA Notes, except to the extent such costs are recovered in connection with any arbitration award in favor of the Company and Royalty Sub if they prevail in the arbitration proceedings. Arbitration proceedings, like other legal proceedings, are inherently uncertain. As a result, there is no assurance that the Company will prevail in the arbitration. As any arbitration award in favor of the Company would accrue primarily to the benefit of Royalty Sub and the holders of the PhaRMA Notes, and because the costs associated with the arbitration proceedings are expected to come out of the assets of Royalty Sub if not recovered as part of any arbitration award in favor of the Company and Royalty Sub, the Company does not currently anticipate that these arbitration proceedings will have a material adverse impact on the Company.</w:t>
      </w:r>
    </w:p>
    <w:p>
      <w:pPr>
        <w:spacing w:after="0" w:line="169" w:lineRule="exact"/>
        <w:rPr>
          <w:sz w:val="20"/>
          <w:szCs w:val="20"/>
          <w:color w:val="auto"/>
        </w:rPr>
      </w:pPr>
    </w:p>
    <w:p>
      <w:pPr>
        <w:ind w:firstLine="492"/>
        <w:spacing w:after="0" w:line="297" w:lineRule="auto"/>
        <w:rPr>
          <w:sz w:val="20"/>
          <w:szCs w:val="20"/>
          <w:color w:val="auto"/>
        </w:rPr>
      </w:pPr>
      <w:r>
        <w:rPr>
          <w:rFonts w:ascii="Arial" w:cs="Arial" w:eastAsia="Arial" w:hAnsi="Arial"/>
          <w:sz w:val="16"/>
          <w:szCs w:val="16"/>
          <w:i w:val="1"/>
          <w:iCs w:val="1"/>
          <w:color w:val="auto"/>
        </w:rPr>
        <w:t xml:space="preserve">Green Cross Corporation (“Green Cross”). </w:t>
      </w:r>
      <w:r>
        <w:rPr>
          <w:rFonts w:ascii="Arial" w:cs="Arial" w:eastAsia="Arial" w:hAnsi="Arial"/>
          <w:sz w:val="16"/>
          <w:szCs w:val="16"/>
          <w:color w:val="auto"/>
        </w:rPr>
        <w:t>In June 2006, the Company entered into an agreement with Green Cross to develop and commercialize</w:t>
      </w:r>
      <w:r>
        <w:rPr>
          <w:rFonts w:ascii="Arial" w:cs="Arial" w:eastAsia="Arial" w:hAnsi="Arial"/>
          <w:sz w:val="16"/>
          <w:szCs w:val="16"/>
          <w:i w:val="1"/>
          <w:iCs w:val="1"/>
          <w:color w:val="auto"/>
        </w:rPr>
        <w:t xml:space="preserve"> </w:t>
      </w:r>
      <w:r>
        <w:rPr>
          <w:rFonts w:ascii="Arial" w:cs="Arial" w:eastAsia="Arial" w:hAnsi="Arial"/>
          <w:sz w:val="16"/>
          <w:szCs w:val="16"/>
          <w:color w:val="auto"/>
        </w:rPr>
        <w:t>peramivir in Korea. Under the terms of the agreement, Green Cross will be responsible for all development, regulatory, and commercialization costs in Korea. The Company received a one-time license fee of $250. The license also provides that the Company will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58"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i w:val="1"/>
          <w:iCs w:val="1"/>
          <w:color w:val="auto"/>
        </w:rPr>
        <w:t xml:space="preserve">Mundipharma International Holdings Limited (“Mundipharma”). </w:t>
      </w:r>
      <w:r>
        <w:rPr>
          <w:rFonts w:ascii="Arial" w:cs="Arial" w:eastAsia="Arial" w:hAnsi="Arial"/>
          <w:sz w:val="18"/>
          <w:szCs w:val="18"/>
          <w:color w:val="auto"/>
        </w:rPr>
        <w:t>In February 2006, the Company entered into an exclusive, royalty bearing right and</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agreement with Mundipharma for the development and commercialization of Mundesine, a Purine Nucleoside Phosphorylase (“PNP”) inhibitor, for use in oncology (the “Original Agreement”). Under the terms of the Original Agreement, Mundipharma obtained rights to Mundesine in markets across Europe, Asia, and Australasia in exchange for a $10,000 up-front payment.</w:t>
      </w:r>
    </w:p>
    <w:p>
      <w:pPr>
        <w:spacing w:after="0" w:line="187"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On November 11, 2011, the Company entered into the Amended and Restated License and Development Agreement (the “Amended and Restated Agreement”) with Mundipharma, amending and restating the Original Agreement. Under the terms of the Amended and Restated Agreement, Mundipharma obtained worldwide rights to Mundesine. Commencing on November 11, 2011, Mundipharma controls the development and commercialization of Mundesine and assumes all future development and commercialization costs. The Amended and Restated Agreement provides for the possibility of future event payments totaling $15,000 for achieving specified regulatory events for certain indications and tiered royalties ranging from mid to high single-digit percentages of net product sales in each country where Mundesine is sold by Mundipharma. These royalties are subject to downward adjustments based on the then-existing patent coverage and/or the availability of generic compounds in each country.</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Albert Einstein College of Medicine of Yeshiva University and Industrial Research, Ltd. (“AECOM” and “IRL” respectively). </w:t>
      </w:r>
      <w:r>
        <w:rPr>
          <w:rFonts w:ascii="Arial" w:cs="Arial" w:eastAsia="Arial" w:hAnsi="Arial"/>
          <w:sz w:val="17"/>
          <w:szCs w:val="17"/>
          <w:color w:val="auto"/>
        </w:rPr>
        <w:t>In June 2000,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licensed a series of potent inhibitors of PNP from AECOM and IRL, (collectively, the “Licensors”). The lead product candidates from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collaboration are forodesine and ulodesine. The Company has obtained worldwide exclusive rights to develop and ultimately distribute these, or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that might arise from research on these inhibitors. The Company has the option to expand the Agreement to include other inventions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field made by the investigators or employees of the Licensors. The Company agreed to use commercially reasonable efforts to develop these drugs.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addition, the Company has agreed to pay certain milestone payments for each licensed product (which range in the aggregate from $1,400 to almost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$4,000 per indication) for future development of these inhibitors, single digit royalties on net sales of any resulting product made by the Company, and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 approximately one quarter of future payments received from other third-party partners, if any. In addition, the Company has agreed to pay annual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fees, which can range from $150 to $500, that are creditable against actual royalties and other payments due to the Licensors. This agreement may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terminated by the Company at any time by giving 60 days advance notice or in the event of material uncured breach by the Licensors.</w:t>
      </w:r>
    </w:p>
    <w:p>
      <w:pPr>
        <w:spacing w:after="0" w:line="211"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In May 2010, the Company amended the licensee agreement through which the Company obtained worldwide exclusive rights to develop and ultimately distribute any product candidates that might arise from research on a series of PNP inhibitors, including forodesine and ulodesine. Under the terms of the amendment, the Licensors agreed to accept a reduction of one-half in the percentage of future payments received from third-party sub licensees of the licensed PNP inhibitors that must be paid to the Licensors. This reduction does not apply to (i) any milestone payments the Company may receive in the future under its license agreement dated February 1, 2006 with Mundipharma and (ii) royalties received from its sub licensees in connection with the sale of licensed products, for which the original payment rate will remain in effect. The rate of royalty payments to the Licensors based on net sales of any resulting product made by the Company remains unchanged.</w:t>
      </w:r>
    </w:p>
    <w:p>
      <w:pPr>
        <w:spacing w:after="0" w:line="189" w:lineRule="exact"/>
        <w:rPr>
          <w:sz w:val="20"/>
          <w:szCs w:val="20"/>
          <w:color w:val="auto"/>
        </w:rPr>
      </w:pPr>
    </w:p>
    <w:p>
      <w:pPr>
        <w:ind w:firstLine="492"/>
        <w:spacing w:after="0" w:line="264" w:lineRule="auto"/>
        <w:rPr>
          <w:sz w:val="20"/>
          <w:szCs w:val="20"/>
          <w:color w:val="auto"/>
        </w:rPr>
      </w:pPr>
      <w:r>
        <w:rPr>
          <w:rFonts w:ascii="Arial" w:cs="Arial" w:eastAsia="Arial" w:hAnsi="Arial"/>
          <w:sz w:val="18"/>
          <w:szCs w:val="18"/>
          <w:color w:val="auto"/>
        </w:rPr>
        <w:t>On November 17, 2011, the Company further amended its agreements with the Licensors whereby the Licensors agreed to accept a reduction of one-half in the percentage of Net Proceeds (as defined) received by the Company under its Amended and Restated Agreement with Mundipharma that will be paid to AECOM/IRL.</w:t>
      </w:r>
    </w:p>
    <w:p>
      <w:pPr>
        <w:spacing w:after="0" w:line="181"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On June 19, 2012, the Company further amended its agreements with AECOM/IRL whereby the parties clarified the definition of the field with respect to PNP inhibition and AECOM/IRL agreed to exclusive worldwide license of galidesivir to BioCryst for any antiviral use.</w:t>
      </w:r>
    </w:p>
    <w:p>
      <w:pPr>
        <w:spacing w:after="0" w:line="170" w:lineRule="exact"/>
        <w:rPr>
          <w:sz w:val="20"/>
          <w:szCs w:val="20"/>
          <w:color w:val="auto"/>
        </w:rPr>
      </w:pPr>
    </w:p>
    <w:p>
      <w:pPr>
        <w:ind w:right="420" w:firstLine="492"/>
        <w:spacing w:after="0" w:line="342" w:lineRule="auto"/>
        <w:rPr>
          <w:sz w:val="20"/>
          <w:szCs w:val="20"/>
          <w:color w:val="auto"/>
        </w:rPr>
      </w:pPr>
      <w:r>
        <w:rPr>
          <w:rFonts w:ascii="Arial" w:cs="Arial" w:eastAsia="Arial" w:hAnsi="Arial"/>
          <w:sz w:val="16"/>
          <w:szCs w:val="16"/>
          <w:color w:val="auto"/>
        </w:rPr>
        <w:t>At its sole option and subject to certain agreed upon conditions, any future non-royalty payments due to be paid by the Company to AECOM/IRL under the license agreement may be made either in cash, in shares of the Company’s common stock, or in a combination of cash and shares.</w:t>
      </w:r>
    </w:p>
    <w:p>
      <w:pPr>
        <w:spacing w:after="0" w:line="124"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On January 6, 2014, the Carbohydrate Chemistry Research Team from Callaghan Innovation Research Limited, formerly Industrial Research Limited, transferred to Victoria University of Wellington (“VUW”) to establish the Ferrier Research Institute. The intellectual property rights relating to this research team, and the contracts relating to that intellectual property were transferred to a wholly owned subsidiary of VUW, including the contracts to which BioCryst is a party. The parties executed novation agreements in order to effectuate the transfer. Except for a substitution of parties, the terms and conditions of the contracts are substantially the same</w:t>
      </w:r>
    </w:p>
    <w:p>
      <w:pPr>
        <w:spacing w:after="0" w:line="188" w:lineRule="exact"/>
        <w:rPr>
          <w:sz w:val="20"/>
          <w:szCs w:val="20"/>
          <w:color w:val="auto"/>
        </w:rPr>
      </w:pPr>
    </w:p>
    <w:p>
      <w:pPr>
        <w:ind w:right="20" w:firstLine="492"/>
        <w:spacing w:after="0" w:line="288" w:lineRule="auto"/>
        <w:rPr>
          <w:sz w:val="20"/>
          <w:szCs w:val="20"/>
          <w:color w:val="auto"/>
        </w:rPr>
      </w:pPr>
      <w:r>
        <w:rPr>
          <w:rFonts w:ascii="Arial" w:cs="Arial" w:eastAsia="Arial" w:hAnsi="Arial"/>
          <w:sz w:val="16"/>
          <w:szCs w:val="16"/>
          <w:i w:val="1"/>
          <w:iCs w:val="1"/>
          <w:color w:val="auto"/>
        </w:rPr>
        <w:t xml:space="preserve">The University of Alabama at Birmingham (“UAB”). </w:t>
      </w:r>
      <w:r>
        <w:rPr>
          <w:rFonts w:ascii="Arial" w:cs="Arial" w:eastAsia="Arial" w:hAnsi="Arial"/>
          <w:sz w:val="16"/>
          <w:szCs w:val="16"/>
          <w:color w:val="auto"/>
        </w:rPr>
        <w:t>The Company currently has agreements with UAB for influenza neuraminidase and complement</w:t>
      </w:r>
      <w:r>
        <w:rPr>
          <w:rFonts w:ascii="Arial" w:cs="Arial" w:eastAsia="Arial" w:hAnsi="Arial"/>
          <w:sz w:val="16"/>
          <w:szCs w:val="16"/>
          <w:i w:val="1"/>
          <w:iCs w:val="1"/>
          <w:color w:val="auto"/>
        </w:rPr>
        <w:t xml:space="preserve"> </w:t>
      </w:r>
      <w:r>
        <w:rPr>
          <w:rFonts w:ascii="Arial" w:cs="Arial" w:eastAsia="Arial" w:hAnsi="Arial"/>
          <w:sz w:val="16"/>
          <w:szCs w:val="16"/>
          <w:color w:val="auto"/>
        </w:rPr>
        <w:t>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with the Company. The Company has agreed to pay single digit royalties on sales of any resulting product and to share in future payments received from other third-party partners. The Company has completed the research under the UAB agreements. These two agreements have initial 25-year terms,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Green Cross and SUL agreements, or commercializes products related to these programs, the Company will owe sublicense fees or royalties on amounts it receives.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11 — Quarterly Financial Information (Unaudited)</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6"/>
        </w:trPr>
        <w:tc>
          <w:tcPr>
            <w:tcW w:w="56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First</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Second</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Third</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Fourth</w:t>
            </w: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 Quarters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3,976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12,494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2,729</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(27,432)</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 Quarters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9,437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3,099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8,760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3,890</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(19,543)</w:t>
            </w: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Basic and diluted net loss per share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Recent Accounting Pronouncements</w:t>
      </w:r>
    </w:p>
    <w:p>
      <w:pPr>
        <w:spacing w:after="0" w:line="229" w:lineRule="exact"/>
        <w:rPr>
          <w:sz w:val="20"/>
          <w:szCs w:val="20"/>
          <w:color w:val="auto"/>
        </w:rPr>
      </w:pPr>
    </w:p>
    <w:p>
      <w:pPr>
        <w:jc w:val="both"/>
        <w:ind w:firstLine="492"/>
        <w:spacing w:after="0" w:line="289" w:lineRule="auto"/>
        <w:rPr>
          <w:sz w:val="20"/>
          <w:szCs w:val="20"/>
          <w:color w:val="auto"/>
        </w:rPr>
      </w:pPr>
      <w:r>
        <w:rPr>
          <w:rFonts w:ascii="Arial" w:cs="Arial" w:eastAsia="Arial" w:hAnsi="Arial"/>
          <w:sz w:val="16"/>
          <w:szCs w:val="16"/>
          <w:color w:val="auto"/>
        </w:rPr>
        <w:t xml:space="preserve">In June 2018, the Financial Accounting Standards Board (“FASB”) issued Accounting Standards Update 2018-07: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Improvements to Nonemployee Share-based Payment Accounting </w:t>
      </w:r>
      <w:r>
        <w:rPr>
          <w:rFonts w:ascii="Arial" w:cs="Arial" w:eastAsia="Arial" w:hAnsi="Arial"/>
          <w:sz w:val="16"/>
          <w:szCs w:val="16"/>
          <w:color w:val="auto"/>
        </w:rPr>
        <w:t>(“ASU 2018-07”)</w:t>
      </w:r>
      <w:r>
        <w:rPr>
          <w:rFonts w:ascii="Arial" w:cs="Arial" w:eastAsia="Arial" w:hAnsi="Arial"/>
          <w:sz w:val="16"/>
          <w:szCs w:val="16"/>
          <w:i w:val="1"/>
          <w:iCs w:val="1"/>
          <w:color w:val="auto"/>
        </w:rPr>
        <w:t xml:space="preserve">. </w:t>
      </w:r>
      <w:r>
        <w:rPr>
          <w:rFonts w:ascii="Arial" w:cs="Arial" w:eastAsia="Arial" w:hAnsi="Arial"/>
          <w:sz w:val="16"/>
          <w:szCs w:val="16"/>
          <w:color w:val="auto"/>
        </w:rPr>
        <w:t>The amendments in this update expand the scope of</w:t>
      </w:r>
      <w:r>
        <w:rPr>
          <w:rFonts w:ascii="Arial" w:cs="Arial" w:eastAsia="Arial" w:hAnsi="Arial"/>
          <w:sz w:val="16"/>
          <w:szCs w:val="16"/>
          <w:i w:val="1"/>
          <w:iCs w:val="1"/>
          <w:color w:val="auto"/>
        </w:rPr>
        <w:t xml:space="preserve"> </w:t>
      </w:r>
      <w:r>
        <w:rPr>
          <w:rFonts w:ascii="Arial" w:cs="Arial" w:eastAsia="Arial" w:hAnsi="Arial"/>
          <w:sz w:val="16"/>
          <w:szCs w:val="16"/>
          <w:color w:val="auto"/>
        </w:rPr>
        <w:t>Topic 718 to include share-based payment transactions for acquiring goods and services from nonemployees. The amendments specify that Topic 718 applies to all share-based payment transactions in which a grantor acquires goods or services to be used or consumed in a grantor’s own operations by issuing share-based payment awards. Additionally, the amendments clarify that Topic 718 does not apply to share-based payments used to effectively provide (1) financing to the issuer or (2) awards granted in conjunction with selling goods or services to customers as part of a contract accounted for under Topic 606, Revenue from Contracts with Customers. The standard is effective for annual periods beginning after December 15, 2018, and interim periods within those annual reporting periods. Early adoption is permitted, but no earlier than an entity’s adoption date of Topic 606. The Company elected to adopt ASU 2018-07 as of July 1, 2018. Adoption of ASU 2018-07 did not have a material impact on the Company’s consolidated financial statements.</w:t>
      </w:r>
    </w:p>
    <w:p>
      <w:pPr>
        <w:spacing w:after="0" w:line="167"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 xml:space="preserve">In November 2016, the FASB issued Accounting Standards Update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The new standard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is effective for annual periods beginning after December 15, 2017, and interim periods within those annual reporting periods. The Company adopted ASU 2016-18 as of January 1, 2018 and applied it retrospectively to all periods presented. Adoption of ASU 2016-18 did not have a material impact on the Company’s consolidated financial statements.</w:t>
      </w:r>
    </w:p>
    <w:p>
      <w:pPr>
        <w:spacing w:after="0" w:line="178"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 xml:space="preserve">In August 2016, the FASB issued Accounting Standards Update No. 2016-15: </w:t>
      </w:r>
      <w:r>
        <w:rPr>
          <w:rFonts w:ascii="Arial" w:cs="Arial" w:eastAsia="Arial" w:hAnsi="Arial"/>
          <w:sz w:val="18"/>
          <w:szCs w:val="18"/>
          <w:i w:val="1"/>
          <w:iCs w:val="1"/>
          <w:color w:val="auto"/>
        </w:rPr>
        <w:t>Statement of Cash Flows (Topic 230): Classification of Certain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Receipts and Cash Payments </w:t>
      </w:r>
      <w:r>
        <w:rPr>
          <w:rFonts w:ascii="Arial" w:cs="Arial" w:eastAsia="Arial" w:hAnsi="Arial"/>
          <w:sz w:val="18"/>
          <w:szCs w:val="18"/>
          <w:color w:val="auto"/>
        </w:rPr>
        <w:t>(“ASU 2016-15”). The amendments in this update clarify how entities should classify certain cash receipts and cash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Consolidated Statements of Cash Flows. The new guidance also clarifies how the predominance principle should be applied when cash receipts and cash payments have aspects of more than one class of cash flows. The standard is effective for annual periods beginning after December 15, 2017, and interim periods within those annual reporting periods. The Company adopted ASU 2016-15 as of January 1, 2018. Adoption of ASU 2016-15 did not have a material impact on the Company’s consolidated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The amendments in this update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require lessees, among other things, to recognize right-of-use assets and lease liabilities on the balance sheet for all leases with terms greater than 12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update also introduces new disclosure requirements for leasing arrangements. ASU 2016-02 will be effective for the Company in fiscal year 2019, but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early adoption is permitted. In July 2018, the FASB issued ASU 2018-11 ("Targeted Improvements to Leases"), which provides companies with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transition method that allows the effects of the adoption of the new standard to be recognized as a cumulative-effect adjustment to the opening balance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retained earnings in the period of adoption. The Company has evaluated and elected this optional transition method for adoption. Based on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lease portfolio, the Company estimates that the adoption of this standard will result in right-of-use assets and lease liabilities between $3,000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 being reflected on the Company’s Consolidated Balance Sheets upon adoption of this standard on January 1, 2019; however, this estimate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as the Company finalizes its implementation. The Company does not expect this standard to have a material impact on the Company’s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Loss or Cash Flows.</w:t>
      </w:r>
    </w:p>
    <w:p>
      <w:pPr>
        <w:spacing w:after="0" w:line="211"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 xml:space="preserve">In January 2016, the FASB issued Accounting Standards Update No. 2016-01: </w:t>
      </w:r>
      <w:r>
        <w:rPr>
          <w:rFonts w:ascii="Arial" w:cs="Arial" w:eastAsia="Arial" w:hAnsi="Arial"/>
          <w:sz w:val="17"/>
          <w:szCs w:val="17"/>
          <w:i w:val="1"/>
          <w:iCs w:val="1"/>
          <w:color w:val="auto"/>
        </w:rPr>
        <w:t>Financial Instruments - Overall (Subtopic 825-10): Recognition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Financial Assets and Financial Liabilities </w:t>
      </w:r>
      <w:r>
        <w:rPr>
          <w:rFonts w:ascii="Arial" w:cs="Arial" w:eastAsia="Arial" w:hAnsi="Arial"/>
          <w:sz w:val="17"/>
          <w:szCs w:val="17"/>
          <w:color w:val="auto"/>
        </w:rPr>
        <w:t>(“ASU 2016-01”). The amendments in this update address certain aspects of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presentation and disclosure of financial instruments. In particular, the amendments in this update supersede, for public business entities, the requirement to disclose the methods and significant assumptions used in calculating the fair value of financial instruments required to be disclosed for financial instruments measured at amortized cost on the balance sheet. The standard is effective for annual periods beginning after December 15, 2017, and interim periods within those annual reporting periods. The Company adopted ASU 2016-01 as of January 1, 2018. Adoption of ASU 2016-01 did not have a material impact on the Company’s consolidated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On February 6, 2019, the Company, together with its consolidated subsidiary, MDCP, LLC (collectively, the “Borrowers”), entered into a $100,000 secured credit facility available in three tranches with MidCap Financial, a Delaware statutory trust, as administrative agent and lender (“MidCap”), pursuant to the terms and conditions of that certain Second Amended and Restated Credit and Security Agreement, dated as of February 6, 2019, among the Borrowers, MidCap, and the lenders party thereto from time to time (the “Second Amended and Restated Senior Credit Facility”). Borrowings under the Second Amended and Restated Senior Credit Facility will be available in three tranches, with (i) the first tranche to be comprised of $50,000 funded at closing, which includes $30,000 of proceeds that were deemed rolled over from the outstanding principal amount under the prior credit agreement, (ii) the second tranche to be comprised of $30,000, and (iii) the third tranche to be comprised of $20,000, with the second and third tranches to be funded upon the completion of certain contingencies related to the Company’s development activities of its product candidates and the establishment of certain financial covenants. The Second Amended and Restated Senior Credit Facility refinanced and replaced the Amended and Restated Senior Credit Facility dated as of July 20, 2018. The Second Amended and Restated Senior Credit Facility bears a variable interest rate of LIBOR (which shall not be less than 0.5%) plus 8%. The Second Amended and Restated Senior Credit Facility includes an interest-only payment period through June 2020 and scheduled monthly principal and interest payments for the subsequent 30 months. The Company used a portion of the proceeds of the Second Amended and Restated Senior Credit Facility to pay off outstanding amounts under the Amended and Restated Senior Credit Facility and the remainder will be used for general corporate purposes.</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80" w:name="page81"/>
    <w:bookmarkEnd w:id="80"/>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BioCryst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BioCryst Pharmaceuticals, Inc. (the Company) as of December 31, 2018 and 2017, the related consolidated statements of comprehensive loss, stockholders’ equity (deficit)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March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81" w:name="page82"/>
    <w:bookmarkEnd w:id="81"/>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BioCryst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BioCryst Pharmaceuticals Inc.’s internal control over financial reporting as of December 31, 2018, based on criteria established in Internal Control — Integrated Framework issued by the Committee of Sponsoring Organizations of the Treadway Commission (2013 framework) (the COSO criteria). In our opinion, BioCryst Pharmaceuticals Inc. (the Company) maintained, in all material respects, effective internal control over financial reporting as of December 31, 2018, based on the COSO criteria.</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BioCryst Pharmaceuticals, Inc. as of December 31, 2018 and 2017, the related consolidated statements of comprehensive loss, stockholders’ equity (deficit) and cash flows for each of the three years in the period ended December 31, 2018, and the related notes and our report dated March 14, 2019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2" w:name="page83"/>
    <w:bookmarkEnd w:id="82"/>
    <w:p>
      <w:pPr>
        <w:ind w:left="60"/>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relating to BioCryst Pharmaceuticals, Inc. required to be disclosed in our periodic filings under the Securities Exchange Act of 1934, as amended (the “Exchange Act”), is recorded, processed, summarized and reported in a timely manner under the Exchange Act of 1934.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 under the Exchange Act).</w:t>
      </w:r>
    </w:p>
    <w:p>
      <w:pPr>
        <w:spacing w:after="0" w:line="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Based upon that evaluation, the Chief Executive Officer and Chief Financial Officer concluded that, as of December 31, 2018, our disclosure controls and procedures are effective. We believe that our disclosure controls and procedures will ensure that information required to be disclosed in the reports filed or submitted by us under the Exchange Act is recorded, processed, summarized and reported within the time periods specified in the rules and forms of the Securities and Exchange Commission, and include controls and procedures designed to ensure that information required to be disclosed by us in such reports is accumulated and communicated to our management, including our Chairman and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Management of BioCryst Pharmaceuticals, Inc. is responsible for establishing and maintaining adequate internal control over financial reporting and for the assessment of the effectiveness of internal control over financial reporting. As defined by the Securities and Exchange Commission,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w:t>
      </w:r>
    </w:p>
    <w:p>
      <w:pPr>
        <w:spacing w:after="0" w:line="188"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color w:val="auto"/>
        </w:rPr>
        <w:t>Our internal control over financial reporting is supported by written policies and procedures that (1) pertain to the maintenance of records that, in reasonable detail, accurately and fairly reflect our transactions and dispositions of our assets; (2) provide reasonable assurance that transactions are recorded as necessary to permit preparation of the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7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connection with the preparation of our annual financial statements, management has undertaken an assessment of the effectiveness of our internal control over financial reporting as of December 31, 2018,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w:t>
      </w:r>
    </w:p>
    <w:p>
      <w:pPr>
        <w:spacing w:after="0" w:line="171"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Based on this assessment, management has concluded that as of December 31, 2018, our internal control over financial reporting was effective. Management believes our internal control over financial reporting will provide reasonable assurance regarding the reliability of financial reporting and the preparation of financial statements for external purposes in accordance with U.S. GAAP.</w:t>
      </w:r>
    </w:p>
    <w:p>
      <w:pPr>
        <w:spacing w:after="0" w:line="181" w:lineRule="exact"/>
        <w:rPr>
          <w:sz w:val="20"/>
          <w:szCs w:val="20"/>
          <w:color w:val="auto"/>
        </w:rPr>
      </w:pPr>
    </w:p>
    <w:p>
      <w:pPr>
        <w:ind w:right="480" w:firstLine="486"/>
        <w:spacing w:after="0" w:line="308" w:lineRule="auto"/>
        <w:rPr>
          <w:sz w:val="20"/>
          <w:szCs w:val="20"/>
          <w:color w:val="auto"/>
        </w:rPr>
      </w:pPr>
      <w:r>
        <w:rPr>
          <w:rFonts w:ascii="Arial" w:cs="Arial" w:eastAsia="Arial" w:hAnsi="Arial"/>
          <w:sz w:val="17"/>
          <w:szCs w:val="17"/>
          <w:color w:val="auto"/>
        </w:rPr>
        <w:t>Ernst &amp; Young LLP, the independent registered public accounting firm that audited our financial statements included in this report, has issued an attestation report on the Company’s internal control over financial reporting, a copy of which appears on page 82 of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2018 that have materially affected, or are reasonably likely to materially affect, our internal control over financial reporting.</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 xml:space="preserve">The information required by this item is set forth under the captions </w:t>
      </w:r>
      <w:r>
        <w:rPr>
          <w:rFonts w:ascii="Arial" w:cs="Arial" w:eastAsia="Arial" w:hAnsi="Arial"/>
          <w:sz w:val="18"/>
          <w:szCs w:val="18"/>
          <w:i w:val="1"/>
          <w:iCs w:val="1"/>
          <w:color w:val="auto"/>
        </w:rPr>
        <w:t>“Items to be Voted on — 1. Election of Directors,” “Executive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“Section 16(a) Beneficial Ownership Reporting Compliance” </w:t>
      </w:r>
      <w:r>
        <w:rPr>
          <w:rFonts w:ascii="Arial" w:cs="Arial" w:eastAsia="Arial" w:hAnsi="Arial"/>
          <w:sz w:val="18"/>
          <w:szCs w:val="18"/>
          <w:color w:val="auto"/>
        </w:rPr>
        <w:t>and</w:t>
      </w:r>
      <w:r>
        <w:rPr>
          <w:rFonts w:ascii="Arial" w:cs="Arial" w:eastAsia="Arial" w:hAnsi="Arial"/>
          <w:sz w:val="18"/>
          <w:szCs w:val="18"/>
          <w:i w:val="1"/>
          <w:iCs w:val="1"/>
          <w:color w:val="auto"/>
        </w:rPr>
        <w:t xml:space="preserve"> “Corporate Governance” </w:t>
      </w:r>
      <w:r>
        <w:rPr>
          <w:rFonts w:ascii="Arial" w:cs="Arial" w:eastAsia="Arial" w:hAnsi="Arial"/>
          <w:sz w:val="18"/>
          <w:szCs w:val="18"/>
          <w:color w:val="auto"/>
        </w:rPr>
        <w:t>in our definitive Proxy Statement for the 2019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and incorporated herein by reference.</w:t>
      </w:r>
    </w:p>
    <w:p>
      <w:pPr>
        <w:spacing w:after="0" w:line="177"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 xml:space="preserve">The information required by this item is set forth under the captions </w:t>
      </w:r>
      <w:r>
        <w:rPr>
          <w:rFonts w:ascii="Arial" w:cs="Arial" w:eastAsia="Arial" w:hAnsi="Arial"/>
          <w:sz w:val="16"/>
          <w:szCs w:val="16"/>
          <w:i w:val="1"/>
          <w:iCs w:val="1"/>
          <w:color w:val="auto"/>
        </w:rPr>
        <w:t>“Compensation Discussion and Analysis,” “Summary Compensation Table,”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“Grants of Plan-Based Awards in 2018,” “Outstanding Equity Awards at December 31, 2018,” “2018 Option Exercises and Stock Vested,” “Potential Payments Upon Termination or Change in Control,” “2018 Director Compensation,” “Compensation Committee Interlocks and Insider Participation” </w:t>
      </w:r>
      <w:r>
        <w:rPr>
          <w:rFonts w:ascii="Arial" w:cs="Arial" w:eastAsia="Arial" w:hAnsi="Arial"/>
          <w:sz w:val="16"/>
          <w:szCs w:val="16"/>
          <w:color w:val="auto"/>
        </w:rPr>
        <w:t>and</w:t>
      </w:r>
      <w:r>
        <w:rPr>
          <w:rFonts w:ascii="Arial" w:cs="Arial" w:eastAsia="Arial" w:hAnsi="Arial"/>
          <w:sz w:val="16"/>
          <w:szCs w:val="16"/>
          <w:i w:val="1"/>
          <w:iCs w:val="1"/>
          <w:color w:val="auto"/>
        </w:rPr>
        <w:t xml:space="preserve"> “Compensation Committee Report” </w:t>
      </w:r>
      <w:r>
        <w:rPr>
          <w:rFonts w:ascii="Arial" w:cs="Arial" w:eastAsia="Arial" w:hAnsi="Arial"/>
          <w:sz w:val="16"/>
          <w:szCs w:val="16"/>
          <w:color w:val="auto"/>
        </w:rPr>
        <w:t>in our definitive Proxy Statement for the 2019 Annual Meeting of Stockholders and incorporated herein by reference.</w:t>
      </w:r>
    </w:p>
    <w:p>
      <w:pPr>
        <w:spacing w:after="0" w:line="150" w:lineRule="exact"/>
        <w:rPr>
          <w:sz w:val="20"/>
          <w:szCs w:val="20"/>
          <w:color w:val="auto"/>
        </w:rPr>
      </w:pPr>
    </w:p>
    <w:p>
      <w:pPr>
        <w:ind w:left="1160" w:right="20" w:hanging="1102"/>
        <w:spacing w:after="0" w:line="277"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color w:val="auto"/>
        </w:rPr>
        <w:t xml:space="preserve">The information required by this item is set forth under the captions </w:t>
      </w:r>
      <w:r>
        <w:rPr>
          <w:rFonts w:ascii="Arial" w:cs="Arial" w:eastAsia="Arial" w:hAnsi="Arial"/>
          <w:sz w:val="16"/>
          <w:szCs w:val="16"/>
          <w:i w:val="1"/>
          <w:iCs w:val="1"/>
          <w:color w:val="auto"/>
        </w:rPr>
        <w:t>“Equity Compensation Plan Information”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“Security Ownership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Beneficial Owners and Management” </w:t>
      </w:r>
      <w:r>
        <w:rPr>
          <w:rFonts w:ascii="Arial" w:cs="Arial" w:eastAsia="Arial" w:hAnsi="Arial"/>
          <w:sz w:val="16"/>
          <w:szCs w:val="16"/>
          <w:color w:val="auto"/>
        </w:rPr>
        <w:t>in our definitive Proxy Statement for the 2019 Annual Meeting of Stockholders and incorporated herein by reference.</w:t>
      </w:r>
    </w:p>
    <w:p>
      <w:pPr>
        <w:spacing w:after="0" w:line="120"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 xml:space="preserve">The information required by this item is set forth under the captions </w:t>
      </w:r>
      <w:r>
        <w:rPr>
          <w:rFonts w:ascii="Arial" w:cs="Arial" w:eastAsia="Arial" w:hAnsi="Arial"/>
          <w:sz w:val="18"/>
          <w:szCs w:val="18"/>
          <w:i w:val="1"/>
          <w:iCs w:val="1"/>
          <w:color w:val="auto"/>
        </w:rPr>
        <w:t>“Certain Relationships and Related Transactions”</w:t>
      </w:r>
      <w:r>
        <w:rPr>
          <w:rFonts w:ascii="Arial" w:cs="Arial" w:eastAsia="Arial" w:hAnsi="Arial"/>
          <w:sz w:val="18"/>
          <w:szCs w:val="18"/>
          <w:color w:val="auto"/>
        </w:rPr>
        <w:t xml:space="preserve"> and “Corporate </w:t>
      </w:r>
      <w:r>
        <w:rPr>
          <w:rFonts w:ascii="Arial" w:cs="Arial" w:eastAsia="Arial" w:hAnsi="Arial"/>
          <w:sz w:val="18"/>
          <w:szCs w:val="18"/>
          <w:i w:val="1"/>
          <w:iCs w:val="1"/>
          <w:color w:val="auto"/>
        </w:rPr>
        <w:t>Governance”</w:t>
      </w:r>
      <w:r>
        <w:rPr>
          <w:rFonts w:ascii="Arial" w:cs="Arial" w:eastAsia="Arial" w:hAnsi="Arial"/>
          <w:sz w:val="18"/>
          <w:szCs w:val="18"/>
          <w:color w:val="auto"/>
        </w:rPr>
        <w:t xml:space="preserve"> in our definitive Proxy Statement for the 2019 Annual Meeting of Stockholders and incorporated herein by reference.</w:t>
      </w:r>
    </w:p>
    <w:p>
      <w:pPr>
        <w:spacing w:after="0" w:line="166" w:lineRule="exact"/>
        <w:rPr>
          <w:sz w:val="20"/>
          <w:szCs w:val="20"/>
          <w:color w:val="auto"/>
        </w:rPr>
      </w:pPr>
    </w:p>
    <w:p>
      <w:pPr>
        <w:ind w:left="60"/>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 xml:space="preserve">The information required by this item is set forth under the caption </w:t>
      </w:r>
      <w:r>
        <w:rPr>
          <w:rFonts w:ascii="Arial" w:cs="Arial" w:eastAsia="Arial" w:hAnsi="Arial"/>
          <w:sz w:val="18"/>
          <w:szCs w:val="18"/>
          <w:i w:val="1"/>
          <w:iCs w:val="1"/>
          <w:color w:val="auto"/>
        </w:rPr>
        <w:t>“Ratification of Appointment of Independent Registered Public Accountants”</w:t>
      </w:r>
      <w:r>
        <w:rPr>
          <w:rFonts w:ascii="Arial" w:cs="Arial" w:eastAsia="Arial" w:hAnsi="Arial"/>
          <w:sz w:val="18"/>
          <w:szCs w:val="18"/>
          <w:color w:val="auto"/>
        </w:rPr>
        <w:t xml:space="preserve"> in our definitive Proxy Statement for the 2019 Annual Meeting of Stockholders and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20" w:type="dxa"/>
            <w:vAlign w:val="bottom"/>
            <w:gridSpan w:val="6"/>
          </w:tcPr>
          <w:p>
            <w:pPr>
              <w:ind w:left="920"/>
              <w:spacing w:after="0"/>
              <w:rPr>
                <w:sz w:val="20"/>
                <w:szCs w:val="20"/>
                <w:color w:val="auto"/>
              </w:rPr>
            </w:pPr>
            <w:r>
              <w:rPr>
                <w:rFonts w:ascii="Arial" w:cs="Arial" w:eastAsia="Arial" w:hAnsi="Arial"/>
                <w:sz w:val="18"/>
                <w:szCs w:val="18"/>
                <w:b w:val="1"/>
                <w:bCs w:val="1"/>
                <w:color w:val="auto"/>
              </w:rPr>
              <w:t>PART IV</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15.</w:t>
            </w:r>
          </w:p>
        </w:tc>
        <w:tc>
          <w:tcPr>
            <w:tcW w:w="908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EXHIBITS, FINANCIAL STATEMENT SCHEDULES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gridSpan w:val="9"/>
          </w:tcPr>
          <w:p>
            <w:pPr>
              <w:ind w:left="220"/>
              <w:spacing w:after="0"/>
              <w:rPr>
                <w:sz w:val="20"/>
                <w:szCs w:val="20"/>
                <w:color w:val="auto"/>
              </w:rPr>
            </w:pPr>
            <w:r>
              <w:rPr>
                <w:rFonts w:ascii="Arial" w:cs="Arial" w:eastAsia="Arial" w:hAnsi="Arial"/>
                <w:sz w:val="18"/>
                <w:szCs w:val="18"/>
                <w:i w:val="1"/>
                <w:iCs w:val="1"/>
                <w:color w:val="auto"/>
              </w:rPr>
              <w:t>(a) Financial Statements</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gridSpan w:val="9"/>
          </w:tcPr>
          <w:p>
            <w:pPr>
              <w:spacing w:after="0"/>
              <w:rPr>
                <w:sz w:val="20"/>
                <w:szCs w:val="20"/>
                <w:color w:val="auto"/>
              </w:rPr>
            </w:pPr>
            <w:r>
              <w:rPr>
                <w:rFonts w:ascii="Arial" w:cs="Arial" w:eastAsia="Arial" w:hAnsi="Arial"/>
                <w:sz w:val="18"/>
                <w:szCs w:val="18"/>
                <w:color w:val="auto"/>
              </w:rPr>
              <w:t>The following financial statements appear in Item 8 of this Form 10-K:</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Page in</w:t>
            </w:r>
          </w:p>
        </w:tc>
        <w:tc>
          <w:tcPr>
            <w:tcW w:w="0" w:type="dxa"/>
            <w:vAlign w:val="bottom"/>
          </w:tcPr>
          <w:p>
            <w:pPr>
              <w:spacing w:after="0"/>
              <w:rPr>
                <w:sz w:val="1"/>
                <w:szCs w:val="1"/>
                <w:color w:val="auto"/>
              </w:rPr>
            </w:pPr>
          </w:p>
        </w:tc>
      </w:tr>
      <w:tr>
        <w:trPr>
          <w:trHeight w:val="234"/>
        </w:trPr>
        <w:tc>
          <w:tcPr>
            <w:tcW w:w="10060" w:type="dxa"/>
            <w:vAlign w:val="bottom"/>
            <w:gridSpan w:val="9"/>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at December 31, 2018 and 2017</w:t>
              </w:r>
            </w:hyperlink>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6"/>
              </w:rPr>
              <w:t>Form 10-K</w:t>
            </w:r>
          </w:p>
        </w:tc>
        <w:tc>
          <w:tcPr>
            <w:tcW w:w="0" w:type="dxa"/>
            <w:vAlign w:val="bottom"/>
          </w:tcPr>
          <w:p>
            <w:pPr>
              <w:spacing w:after="0"/>
              <w:rPr>
                <w:sz w:val="1"/>
                <w:szCs w:val="1"/>
                <w:color w:val="auto"/>
              </w:rPr>
            </w:pPr>
          </w:p>
        </w:tc>
      </w:tr>
      <w:tr>
        <w:trPr>
          <w:trHeight w:val="169"/>
        </w:trPr>
        <w:tc>
          <w:tcPr>
            <w:tcW w:w="10060" w:type="dxa"/>
            <w:vAlign w:val="bottom"/>
            <w:gridSpan w:val="9"/>
            <w:vMerge w:val="continue"/>
          </w:tcPr>
          <w:p>
            <w:pPr>
              <w:spacing w:after="0"/>
              <w:rPr>
                <w:sz w:val="14"/>
                <w:szCs w:val="14"/>
                <w:color w:val="auto"/>
              </w:rPr>
            </w:pPr>
          </w:p>
        </w:tc>
        <w:tc>
          <w:tcPr>
            <w:tcW w:w="1140" w:type="dxa"/>
            <w:vAlign w:val="bottom"/>
            <w:gridSpan w:val="2"/>
          </w:tcPr>
          <w:p>
            <w:pPr>
              <w:jc w:val="right"/>
              <w:spacing w:after="0" w:line="170" w:lineRule="exact"/>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60" w:type="dxa"/>
            <w:vAlign w:val="bottom"/>
            <w:gridSpan w:val="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Comprehensive Loss for the years ended December 31, 2018, 2017 and 2016</w:t>
              </w:r>
            </w:hyperlink>
          </w:p>
        </w:tc>
        <w:tc>
          <w:tcPr>
            <w:tcW w:w="1140" w:type="dxa"/>
            <w:vAlign w:val="bottom"/>
            <w:gridSpan w:val="2"/>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Cash Flows for the years ended December 31, 2018, 2017 and 2016</w:t>
              </w:r>
            </w:hyperlink>
          </w:p>
        </w:tc>
        <w:tc>
          <w:tcPr>
            <w:tcW w:w="660" w:type="dxa"/>
            <w:vAlign w:val="bottom"/>
            <w:tcBorders>
              <w:top w:val="single" w:sz="8" w:color="0000EE"/>
            </w:tcBorders>
            <w:gridSpan w:val="2"/>
          </w:tcPr>
          <w:p>
            <w:pPr>
              <w:spacing w:after="0"/>
              <w:rPr>
                <w:sz w:val="17"/>
                <w:szCs w:val="17"/>
                <w:color w:val="auto"/>
              </w:rPr>
            </w:pPr>
          </w:p>
        </w:tc>
        <w:tc>
          <w:tcPr>
            <w:tcW w:w="248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58</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Stockholders’ Equity for the years ended December 31, 2018, 2017 and 2016</w:t>
              </w:r>
            </w:hyperlink>
          </w:p>
        </w:tc>
        <w:tc>
          <w:tcPr>
            <w:tcW w:w="2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Notes to Consolidated Financial Statements</w:t>
              </w:r>
            </w:hyperlink>
          </w:p>
        </w:tc>
        <w:tc>
          <w:tcPr>
            <w:tcW w:w="690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60</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Report of Independent Registered Public Accounting Firm on Consolidated Financial Statements</w:t>
              </w:r>
            </w:hyperlink>
          </w:p>
        </w:tc>
        <w:tc>
          <w:tcPr>
            <w:tcW w:w="30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81</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82">
              <w:r>
                <w:rPr>
                  <w:rFonts w:ascii="Arial" w:cs="Arial" w:eastAsia="Arial" w:hAnsi="Arial"/>
                  <w:sz w:val="18"/>
                  <w:szCs w:val="18"/>
                  <w:color w:val="0000EE"/>
                  <w:w w:val="91"/>
                </w:rPr>
                <w:t>Report of Independent Registered Public Accounting Firm on Internal Control</w:t>
              </w:r>
            </w:hyperlink>
          </w:p>
        </w:tc>
        <w:tc>
          <w:tcPr>
            <w:tcW w:w="4400" w:type="dxa"/>
            <w:vAlign w:val="bottom"/>
            <w:gridSpan w:val="5"/>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color w:val="auto"/>
        </w:rPr>
        <w:t>No financial statement schedules are included because the information is either provided in the consolidated financial statements or is not required under the related instructions or is inapplicable and such schedules therefore have been omitted.</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ind w:left="260"/>
              <w:spacing w:after="0"/>
              <w:rPr>
                <w:sz w:val="20"/>
                <w:szCs w:val="20"/>
                <w:color w:val="auto"/>
              </w:rPr>
            </w:pPr>
            <w:r>
              <w:rPr>
                <w:rFonts w:ascii="Arial" w:cs="Arial" w:eastAsia="Arial" w:hAnsi="Arial"/>
                <w:sz w:val="18"/>
                <w:szCs w:val="18"/>
                <w:i w:val="1"/>
                <w:iCs w:val="1"/>
                <w:color w:val="auto"/>
              </w:rPr>
              <w:t>(b) Exhibits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gridSpan w:val="2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7"/>
              </w:rPr>
            </w:pPr>
            <w:hyperlink r:id="rId102">
              <w:r>
                <w:rPr>
                  <w:rFonts w:ascii="Arial" w:cs="Arial" w:eastAsia="Arial" w:hAnsi="Arial"/>
                  <w:sz w:val="18"/>
                  <w:szCs w:val="18"/>
                  <w:color w:val="0000EE"/>
                  <w:w w:val="97"/>
                </w:rPr>
                <w:t>Third Restated Certificate of Incorporation of Registrant. Incorporated by reference to Exhibit 3.1 to the Company’s Form 8-K filed</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December 22, 2006.</w:t>
              </w:r>
            </w:hyperlink>
          </w:p>
        </w:tc>
        <w:tc>
          <w:tcPr>
            <w:tcW w:w="540" w:type="dxa"/>
            <w:vAlign w:val="bottom"/>
            <w:gridSpan w:val="10"/>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Certificate of Amendment to the Third Restated Certificate of Incorporation of Registrant. Incorporated by reference to Exhibit 3.1 to the</w:t>
              </w:r>
            </w:hyperlink>
          </w:p>
        </w:tc>
        <w:tc>
          <w:tcPr>
            <w:tcW w:w="140" w:type="dxa"/>
            <w:vAlign w:val="bottom"/>
            <w:gridSpan w:val="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Company’s Form 8-K filed July 24, 2007.</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Certificate of Amendment to the Third Restated Certificate of Incorporation of Registrant. Incorporated by reference to Exhibit 3.1 to the</w:t>
              </w:r>
            </w:hyperlink>
          </w:p>
        </w:tc>
        <w:tc>
          <w:tcPr>
            <w:tcW w:w="140" w:type="dxa"/>
            <w:vAlign w:val="bottom"/>
            <w:gridSpan w:val="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Company’s Form 8-K filed May 7, 2014.</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Certificate of Increase of Authorized Number of Shares of Series B Junior Participating Preferred Stock. Incorporated by reference to</w:t>
              </w:r>
            </w:hyperlink>
          </w:p>
        </w:tc>
        <w:tc>
          <w:tcPr>
            <w:tcW w:w="420" w:type="dxa"/>
            <w:vAlign w:val="bottom"/>
            <w:gridSpan w:val="9"/>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Exhibit 3.1 to the Company’s Form 8-K filed November 4, 2008.</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3.5</w:t>
            </w:r>
          </w:p>
        </w:tc>
        <w:tc>
          <w:tcPr>
            <w:tcW w:w="740" w:type="dxa"/>
            <w:vAlign w:val="bottom"/>
          </w:tcPr>
          <w:p>
            <w:pPr>
              <w:spacing w:after="0"/>
              <w:rPr>
                <w:sz w:val="24"/>
                <w:szCs w:val="24"/>
                <w:color w:val="auto"/>
              </w:rPr>
            </w:pPr>
          </w:p>
        </w:tc>
        <w:tc>
          <w:tcPr>
            <w:tcW w:w="9620" w:type="dxa"/>
            <w:vAlign w:val="bottom"/>
            <w:tcBorders>
              <w:bottom w:val="single" w:sz="8" w:color="0000EE"/>
            </w:tcBorders>
            <w:gridSpan w:val="17"/>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Certificate of Increase of Authorized Number of Shares of Series B Junior Participating Preferred Stock. Incorporated by reference to</w:t>
              </w:r>
            </w:hyperlink>
          </w:p>
        </w:tc>
        <w:tc>
          <w:tcPr>
            <w:tcW w:w="420" w:type="dxa"/>
            <w:vAlign w:val="bottom"/>
            <w:gridSpan w:val="9"/>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Exhibit 3.2 to the Company’s Form 8-K filed May 7, 2014.</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3.6</w:t>
            </w:r>
          </w:p>
        </w:tc>
        <w:tc>
          <w:tcPr>
            <w:tcW w:w="74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Amended and Restated Bylaws of Registrant effective October 29, 2008. Incorporated by reference to Exhibit 3.2 to the Company’s Form</w:t>
              </w:r>
            </w:hyperlink>
          </w:p>
        </w:tc>
        <w:tc>
          <w:tcPr>
            <w:tcW w:w="8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8-K filed November 4, 2008.</w:t>
              </w:r>
            </w:hyperlink>
          </w:p>
        </w:tc>
        <w:tc>
          <w:tcPr>
            <w:tcW w:w="7940" w:type="dxa"/>
            <w:vAlign w:val="bottom"/>
            <w:gridSpan w:val="20"/>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98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Amendment to Amended and Restated By-Laws of BioCryst Pharmaceuticals, Inc., dated January 21, 2018. Incorporated by reference to</w:t>
              </w:r>
            </w:hyperlink>
          </w:p>
        </w:tc>
        <w:tc>
          <w:tcPr>
            <w:tcW w:w="160" w:type="dxa"/>
            <w:vAlign w:val="bottom"/>
            <w:gridSpan w:val="6"/>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Exhibit 3.1 to the Company’s Form 8-K filed January 22, 2018.</w:t>
              </w:r>
            </w:hyperlink>
          </w:p>
        </w:tc>
        <w:tc>
          <w:tcPr>
            <w:tcW w:w="5460" w:type="dxa"/>
            <w:vAlign w:val="bottom"/>
            <w:gridSpan w:val="15"/>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Indenture, dated as of March 9, 2011 by and between JPR Royalty Sub LLC and U.S. Bank National Association, as trustee. Incorporated</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by reference to Exhibit 4.3 of the Company’s Form 10-Q filed May 6, 2011.</w:t>
              </w:r>
            </w:hyperlink>
          </w:p>
        </w:tc>
        <w:tc>
          <w:tcPr>
            <w:tcW w:w="4440" w:type="dxa"/>
            <w:vAlign w:val="bottom"/>
            <w:tcBorders>
              <w:top w:val="single" w:sz="8" w:color="0000EE"/>
            </w:tcBorders>
            <w:gridSpan w:val="8"/>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10.1&amp;</w:t>
            </w:r>
          </w:p>
        </w:tc>
        <w:tc>
          <w:tcPr>
            <w:tcW w:w="740" w:type="dxa"/>
            <w:vAlign w:val="bottom"/>
          </w:tcPr>
          <w:p>
            <w:pPr>
              <w:spacing w:after="0"/>
              <w:rPr>
                <w:sz w:val="24"/>
                <w:szCs w:val="24"/>
                <w:color w:val="auto"/>
              </w:rPr>
            </w:pPr>
          </w:p>
        </w:tc>
        <w:tc>
          <w:tcPr>
            <w:tcW w:w="10040" w:type="dxa"/>
            <w:vAlign w:val="bottom"/>
            <w:tcBorders>
              <w:bottom w:val="single" w:sz="8" w:color="0000EE"/>
            </w:tcBorders>
            <w:gridSpan w:val="26"/>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Stock Incentive Plan dated March 29, 2012. Incorporated by reference to Exhibit 10.1 of the Company’s Form 8-K,</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filed May 25, 2012.</w:t>
              </w:r>
            </w:hyperlink>
          </w:p>
        </w:tc>
        <w:tc>
          <w:tcPr>
            <w:tcW w:w="8580" w:type="dxa"/>
            <w:vAlign w:val="bottom"/>
            <w:gridSpan w:val="23"/>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10.2&amp;</w:t>
            </w:r>
          </w:p>
        </w:tc>
        <w:tc>
          <w:tcPr>
            <w:tcW w:w="740" w:type="dxa"/>
            <w:vAlign w:val="bottom"/>
          </w:tcPr>
          <w:p>
            <w:pPr>
              <w:spacing w:after="0"/>
              <w:rPr>
                <w:sz w:val="24"/>
                <w:szCs w:val="24"/>
                <w:color w:val="auto"/>
              </w:rPr>
            </w:pPr>
          </w:p>
        </w:tc>
        <w:tc>
          <w:tcPr>
            <w:tcW w:w="9900" w:type="dxa"/>
            <w:vAlign w:val="bottom"/>
            <w:tcBorders>
              <w:bottom w:val="single" w:sz="8" w:color="0000EE"/>
            </w:tcBorders>
            <w:gridSpan w:val="21"/>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Amended and Restated Stock Incentive Plan dated March 8, 2014. Incorporated by reference to Exhibit 10.1 to the Company’s Form 8-K</w:t>
              </w:r>
            </w:hyperlink>
          </w:p>
        </w:tc>
        <w:tc>
          <w:tcPr>
            <w:tcW w:w="140" w:type="dxa"/>
            <w:vAlign w:val="bottom"/>
            <w:gridSpan w:val="5"/>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filed May 5, 2014.</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10.3&amp;</w:t>
            </w:r>
          </w:p>
        </w:tc>
        <w:tc>
          <w:tcPr>
            <w:tcW w:w="74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rPr>
            </w:pPr>
            <w:hyperlink r:id="rId112">
              <w:r>
                <w:rPr>
                  <w:rFonts w:ascii="Arial" w:cs="Arial" w:eastAsia="Arial" w:hAnsi="Arial"/>
                  <w:sz w:val="18"/>
                  <w:szCs w:val="18"/>
                  <w:color w:val="0000EE"/>
                </w:rPr>
                <w:t>Amended and Restated Stock Incentive Plan, dated April 4, 2016. Incorporated by reference to Exhibit 10.1 to the Company’s</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Registration Statement on Form S-8, filed May 23, 2016.</w:t>
              </w:r>
            </w:hyperlink>
          </w:p>
        </w:tc>
        <w:tc>
          <w:tcPr>
            <w:tcW w:w="920" w:type="dxa"/>
            <w:vAlign w:val="bottom"/>
            <w:gridSpan w:val="11"/>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10.4&amp;</w:t>
            </w:r>
          </w:p>
        </w:tc>
        <w:tc>
          <w:tcPr>
            <w:tcW w:w="740" w:type="dxa"/>
            <w:vAlign w:val="bottom"/>
          </w:tcPr>
          <w:p>
            <w:pPr>
              <w:spacing w:after="0"/>
              <w:rPr>
                <w:sz w:val="24"/>
                <w:szCs w:val="24"/>
                <w:color w:val="auto"/>
              </w:rPr>
            </w:pPr>
          </w:p>
        </w:tc>
        <w:tc>
          <w:tcPr>
            <w:tcW w:w="9800" w:type="dxa"/>
            <w:vAlign w:val="bottom"/>
            <w:tcBorders>
              <w:bottom w:val="single" w:sz="8" w:color="0000EE"/>
            </w:tcBorders>
            <w:gridSpan w:val="1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Amended and Restated Stock Incentive Plan dated April 3, 2017. Incorporated by reference to Exhibit 10.1 to the Company’s Form 8-K</w:t>
              </w:r>
            </w:hyperlink>
          </w:p>
        </w:tc>
        <w:tc>
          <w:tcPr>
            <w:tcW w:w="240" w:type="dxa"/>
            <w:vAlign w:val="bottom"/>
            <w:gridSpan w:val="8"/>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r:id="rId113">
              <w:r>
                <w:rPr>
                  <w:rFonts w:ascii="Arial" w:cs="Arial" w:eastAsia="Arial" w:hAnsi="Arial"/>
                  <w:sz w:val="18"/>
                  <w:szCs w:val="18"/>
                  <w:color w:val="0000EE"/>
                  <w:w w:val="93"/>
                </w:rPr>
                <w:t>filed May 30, 2017.</w:t>
              </w:r>
            </w:hyperlink>
          </w:p>
        </w:tc>
        <w:tc>
          <w:tcPr>
            <w:tcW w:w="8580" w:type="dxa"/>
            <w:vAlign w:val="bottom"/>
            <w:gridSpan w:val="23"/>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10.5&amp;</w:t>
            </w:r>
          </w:p>
        </w:tc>
        <w:tc>
          <w:tcPr>
            <w:tcW w:w="74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Amended and Restated Stock Incentive Plan dated September 17, 2018. Incorporated by reference to Exhibit 10.1 to the Company’s Form</w:t>
              </w:r>
            </w:hyperlink>
          </w:p>
        </w:tc>
        <w:tc>
          <w:tcPr>
            <w:tcW w:w="80" w:type="dxa"/>
            <w:vAlign w:val="bottom"/>
            <w:gridSpan w:val="2"/>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40" w:type="dxa"/>
            <w:vAlign w:val="bottom"/>
            <w:gridSpan w:val="26"/>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8-K filed October 31, 2018.</w:t>
              </w:r>
            </w:hyperlink>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10.6&amp;</w:t>
            </w:r>
          </w:p>
        </w:tc>
        <w:tc>
          <w:tcPr>
            <w:tcW w:w="74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Employee Stock Purchase Plan dated March 29, 2012. Incorporated by reference to Exhibit 10.2 to the Company’s</w:t>
              </w:r>
            </w:hyperlink>
          </w:p>
        </w:tc>
        <w:tc>
          <w:tcPr>
            <w:tcW w:w="6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r:id="rId115">
              <w:r>
                <w:rPr>
                  <w:rFonts w:ascii="Arial" w:cs="Arial" w:eastAsia="Arial" w:hAnsi="Arial"/>
                  <w:sz w:val="18"/>
                  <w:szCs w:val="18"/>
                  <w:color w:val="0000EE"/>
                  <w:w w:val="93"/>
                </w:rPr>
                <w:t>Form 8-K filed May 25, 2012.</w:t>
              </w:r>
            </w:hyperlink>
          </w:p>
        </w:tc>
        <w:tc>
          <w:tcPr>
            <w:tcW w:w="7840" w:type="dxa"/>
            <w:vAlign w:val="bottom"/>
            <w:gridSpan w:val="19"/>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10.7&amp;</w:t>
            </w:r>
          </w:p>
        </w:tc>
        <w:tc>
          <w:tcPr>
            <w:tcW w:w="74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Amended and Restated Employee Stock Purchase Plan dated March 8, 2014. Incorporated by reference to Exhibit 10.2 to the Company’s</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Form 8-K filed May 5, 2014.</w:t>
              </w:r>
            </w:hyperlink>
          </w:p>
        </w:tc>
        <w:tc>
          <w:tcPr>
            <w:tcW w:w="160" w:type="dxa"/>
            <w:vAlign w:val="bottom"/>
            <w:gridSpan w:val="6"/>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10.8&amp;</w:t>
            </w:r>
          </w:p>
        </w:tc>
        <w:tc>
          <w:tcPr>
            <w:tcW w:w="740" w:type="dxa"/>
            <w:vAlign w:val="bottom"/>
          </w:tcPr>
          <w:p>
            <w:pPr>
              <w:spacing w:after="0"/>
              <w:rPr>
                <w:sz w:val="24"/>
                <w:szCs w:val="24"/>
                <w:color w:val="auto"/>
              </w:rPr>
            </w:pPr>
          </w:p>
        </w:tc>
        <w:tc>
          <w:tcPr>
            <w:tcW w:w="9840" w:type="dxa"/>
            <w:vAlign w:val="bottom"/>
            <w:tcBorders>
              <w:bottom w:val="single" w:sz="8" w:color="0000EE"/>
            </w:tcBorders>
            <w:gridSpan w:val="19"/>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Form of Notice of Grant of Non-Employee Director Automatic Stock Option and Stock Option Agreement. Incorporated by reference to</w:t>
              </w:r>
            </w:hyperlink>
          </w:p>
        </w:tc>
        <w:tc>
          <w:tcPr>
            <w:tcW w:w="200" w:type="dxa"/>
            <w:vAlign w:val="bottom"/>
            <w:gridSpan w:val="7"/>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Exhibit 10.4 of the Company’s Form 10-K filed March 4, 2008.</w:t>
              </w:r>
            </w:hyperlink>
          </w:p>
        </w:tc>
        <w:tc>
          <w:tcPr>
            <w:tcW w:w="5440" w:type="dxa"/>
            <w:vAlign w:val="bottom"/>
            <w:gridSpan w:val="14"/>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10.9&amp;</w:t>
            </w:r>
          </w:p>
        </w:tc>
        <w:tc>
          <w:tcPr>
            <w:tcW w:w="74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Notice of Grant of Stock Option and Stock Option Agreement. Incorporated by reference to Exhibit 10.5 of the Company’s Form</w:t>
              </w:r>
            </w:hyperlink>
          </w:p>
        </w:tc>
        <w:tc>
          <w:tcPr>
            <w:tcW w:w="100" w:type="dxa"/>
            <w:vAlign w:val="bottom"/>
            <w:gridSpan w:val="3"/>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18">
              <w:r>
                <w:rPr>
                  <w:rFonts w:ascii="Arial" w:cs="Arial" w:eastAsia="Arial" w:hAnsi="Arial"/>
                  <w:sz w:val="18"/>
                  <w:szCs w:val="18"/>
                  <w:color w:val="0000EE"/>
                  <w:w w:val="93"/>
                </w:rPr>
                <w:t>10-K filed March 4, 2008.</w:t>
              </w:r>
            </w:hyperlink>
          </w:p>
        </w:tc>
        <w:tc>
          <w:tcPr>
            <w:tcW w:w="8140" w:type="dxa"/>
            <w:vAlign w:val="bottom"/>
            <w:gridSpan w:val="22"/>
          </w:tcPr>
          <w:p>
            <w:pPr>
              <w:spacing w:after="0"/>
              <w:rPr>
                <w:sz w:val="17"/>
                <w:szCs w:val="17"/>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10.10&amp;</w:t>
            </w:r>
          </w:p>
        </w:tc>
        <w:tc>
          <w:tcPr>
            <w:tcW w:w="740" w:type="dxa"/>
            <w:vAlign w:val="bottom"/>
          </w:tcPr>
          <w:p>
            <w:pPr>
              <w:spacing w:after="0"/>
              <w:rPr>
                <w:sz w:val="24"/>
                <w:szCs w:val="24"/>
                <w:color w:val="auto"/>
              </w:rPr>
            </w:pPr>
          </w:p>
        </w:tc>
        <w:tc>
          <w:tcPr>
            <w:tcW w:w="10040" w:type="dxa"/>
            <w:vAlign w:val="bottom"/>
            <w:gridSpan w:val="26"/>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Form of Notice of Grant of Stock Option and Stock Option Agreement. Incorporated by reference to Exhibit 10.7 of the Company’s Form</w:t>
              </w:r>
            </w:hyperlink>
          </w:p>
        </w:tc>
      </w:tr>
      <w:tr>
        <w:trPr>
          <w:trHeight w:val="196"/>
        </w:trPr>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10-K filed March 2, 2015.</w:t>
              </w:r>
            </w:hyperlink>
          </w:p>
        </w:tc>
        <w:tc>
          <w:tcPr>
            <w:tcW w:w="8080" w:type="dxa"/>
            <w:vAlign w:val="bottom"/>
            <w:tcBorders>
              <w:top w:val="single" w:sz="8" w:color="0000EE"/>
            </w:tcBorders>
            <w:gridSpan w:val="21"/>
          </w:tcPr>
          <w:p>
            <w:pPr>
              <w:spacing w:after="0"/>
              <w:rPr>
                <w:sz w:val="17"/>
                <w:szCs w:val="17"/>
                <w:color w:val="auto"/>
              </w:rPr>
            </w:pPr>
          </w:p>
        </w:tc>
        <w:tc>
          <w:tcPr>
            <w:tcW w:w="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10.11&amp;</w:t>
            </w:r>
          </w:p>
        </w:tc>
        <w:tc>
          <w:tcPr>
            <w:tcW w:w="9940" w:type="dxa"/>
            <w:vAlign w:val="bottom"/>
            <w:tcBorders>
              <w:bottom w:val="single" w:sz="8" w:color="0000EE"/>
            </w:tcBorders>
            <w:gridSpan w:val="25"/>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Notice of Grant of Restricted Stock Unit Award and Restricted Stock Unit Agreement. Incorporated by reference to Exhibit 10.8</w:t>
              </w:r>
            </w:hyperlink>
          </w:p>
        </w:tc>
        <w:tc>
          <w:tcPr>
            <w:tcW w:w="8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6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of the Company’s Form 10-K filed March 2, 2015.</w:t>
              </w:r>
            </w:hyperlink>
          </w:p>
        </w:tc>
        <w:tc>
          <w:tcPr>
            <w:tcW w:w="6360" w:type="dxa"/>
            <w:vAlign w:val="bottom"/>
            <w:gridSpan w:val="2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10.12&amp;</w:t>
            </w:r>
          </w:p>
        </w:tc>
        <w:tc>
          <w:tcPr>
            <w:tcW w:w="8380" w:type="dxa"/>
            <w:vAlign w:val="bottom"/>
            <w:tcBorders>
              <w:bottom w:val="single" w:sz="8" w:color="0000EE"/>
            </w:tcBorders>
            <w:gridSpan w:val="14"/>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Annual Incentive Plan. Incorporated by reference to Exhibit 10.1 of the Company’s Form 8-K filed March 12, 2012.</w:t>
              </w:r>
            </w:hyperlink>
          </w:p>
        </w:tc>
        <w:tc>
          <w:tcPr>
            <w:tcW w:w="1640" w:type="dxa"/>
            <w:vAlign w:val="bottom"/>
            <w:gridSpan w:val="13"/>
          </w:tcPr>
          <w:p>
            <w:pPr>
              <w:spacing w:after="0"/>
              <w:rPr>
                <w:sz w:val="24"/>
                <w:szCs w:val="24"/>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10.13&amp;</w:t>
            </w:r>
          </w:p>
        </w:tc>
        <w:tc>
          <w:tcPr>
            <w:tcW w:w="10020" w:type="dxa"/>
            <w:vAlign w:val="bottom"/>
            <w:gridSpan w:val="27"/>
          </w:tcPr>
          <w:p>
            <w:pPr>
              <w:spacing w:after="0"/>
              <w:rPr>
                <w:rFonts w:ascii="Arial" w:cs="Arial" w:eastAsia="Arial" w:hAnsi="Arial"/>
                <w:sz w:val="18"/>
                <w:szCs w:val="18"/>
                <w:color w:val="0000EE"/>
              </w:rPr>
            </w:pPr>
            <w:hyperlink r:id="rId123">
              <w:r>
                <w:rPr>
                  <w:rFonts w:ascii="Arial" w:cs="Arial" w:eastAsia="Arial" w:hAnsi="Arial"/>
                  <w:sz w:val="18"/>
                  <w:szCs w:val="18"/>
                  <w:color w:val="0000EE"/>
                </w:rPr>
                <w:t>Executive Relocation Policy. Incorporated by reference to Exhibit 10.2 of the Company’s Form 10-K filed March 4, 2008.</w:t>
              </w:r>
            </w:hyperlink>
          </w:p>
        </w:tc>
      </w:tr>
      <w:tr>
        <w:trPr>
          <w:trHeight w:val="20"/>
        </w:trPr>
        <w:tc>
          <w:tcPr>
            <w:tcW w:w="13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10.14&amp;</w:t>
            </w:r>
          </w:p>
        </w:tc>
        <w:tc>
          <w:tcPr>
            <w:tcW w:w="9700" w:type="dxa"/>
            <w:vAlign w:val="bottom"/>
            <w:tcBorders>
              <w:bottom w:val="single" w:sz="8" w:color="0000EE"/>
            </w:tcBorders>
            <w:gridSpan w:val="21"/>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Amended and Restated Employment Letter Agreement dated February 14, 2007, by and between the Company and Jon P. Stonehouse.</w:t>
              </w:r>
            </w:hyperlink>
          </w:p>
        </w:tc>
        <w:tc>
          <w:tcPr>
            <w:tcW w:w="32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Incorporated by reference to Exhibit 10.12 to the Company’s Form 10-K filed March 14, 2007.</w:t>
              </w:r>
            </w:hyperlink>
          </w:p>
        </w:tc>
      </w:tr>
      <w:tr>
        <w:trPr>
          <w:trHeight w:val="20"/>
        </w:trPr>
        <w:tc>
          <w:tcPr>
            <w:tcW w:w="13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10.15&amp;</w:t>
            </w:r>
          </w:p>
        </w:tc>
        <w:tc>
          <w:tcPr>
            <w:tcW w:w="9700" w:type="dxa"/>
            <w:vAlign w:val="bottom"/>
            <w:tcBorders>
              <w:bottom w:val="single" w:sz="8" w:color="0000EE"/>
            </w:tcBorders>
            <w:gridSpan w:val="21"/>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Employment Letter Agreement between BioCryst Pharmaceuticals, Inc. and Thomas R. Staab II, dated May 23, 2011. Incorporated by</w:t>
              </w:r>
            </w:hyperlink>
          </w:p>
        </w:tc>
        <w:tc>
          <w:tcPr>
            <w:tcW w:w="32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reference to Exhibit 10.1 of the Company’s Form 8-K filed May 25, 2011.</w:t>
              </w:r>
            </w:hyperlink>
          </w:p>
        </w:tc>
      </w:tr>
      <w:tr>
        <w:trPr>
          <w:trHeight w:val="20"/>
        </w:trPr>
        <w:tc>
          <w:tcPr>
            <w:tcW w:w="13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10.16&amp;</w:t>
            </w:r>
          </w:p>
        </w:tc>
        <w:tc>
          <w:tcPr>
            <w:tcW w:w="9700" w:type="dxa"/>
            <w:vAlign w:val="bottom"/>
            <w:tcBorders>
              <w:bottom w:val="single" w:sz="8" w:color="0000EE"/>
            </w:tcBorders>
            <w:gridSpan w:val="21"/>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Employment Letter Agreement between BioCryst Pharmaceuticals, Inc. and William P. Sheridan dated June 12, 2008. Incorporated by</w:t>
              </w:r>
            </w:hyperlink>
          </w:p>
        </w:tc>
        <w:tc>
          <w:tcPr>
            <w:tcW w:w="320" w:type="dxa"/>
            <w:vAlign w:val="bottom"/>
            <w:gridSpan w:val="6"/>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reference to Exhibit 10.27 of the Company’s Form 10-Q filed August 8, 2008.</w:t>
              </w:r>
            </w:hyperlink>
          </w:p>
        </w:tc>
      </w:tr>
      <w:tr>
        <w:trPr>
          <w:trHeight w:val="20"/>
        </w:trPr>
        <w:tc>
          <w:tcPr>
            <w:tcW w:w="1380" w:type="dxa"/>
            <w:vAlign w:val="bottom"/>
          </w:tcPr>
          <w:p>
            <w:pPr>
              <w:spacing w:after="0" w:line="20" w:lineRule="exact"/>
              <w:rPr>
                <w:sz w:val="1"/>
                <w:szCs w:val="1"/>
                <w:color w:val="auto"/>
              </w:rPr>
            </w:pPr>
          </w:p>
        </w:tc>
        <w:tc>
          <w:tcPr>
            <w:tcW w:w="56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10.17&amp;</w:t>
            </w:r>
          </w:p>
        </w:tc>
        <w:tc>
          <w:tcPr>
            <w:tcW w:w="10020" w:type="dxa"/>
            <w:vAlign w:val="bottom"/>
            <w:gridSpan w:val="27"/>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Employment Letter Agreement between BioCryst Pharmaceuticals, Inc. and Yarlagadda S. Babu dated April 27, 2012. Incorporated by</w:t>
              </w:r>
            </w:hyperlink>
          </w:p>
        </w:tc>
      </w:tr>
      <w:tr>
        <w:trPr>
          <w:trHeight w:val="196"/>
        </w:trPr>
        <w:tc>
          <w:tcPr>
            <w:tcW w:w="138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reference to Exhibit 10.10 of the Company’s Form 10-K filed March 10, 2014.</w:t>
              </w:r>
            </w:hyperlink>
          </w:p>
        </w:tc>
        <w:tc>
          <w:tcPr>
            <w:tcW w:w="4040" w:type="dxa"/>
            <w:vAlign w:val="bottom"/>
            <w:tcBorders>
              <w:top w:val="single" w:sz="8" w:color="0000EE"/>
            </w:tcBorders>
            <w:gridSpan w:val="18"/>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10.18&amp;</w:t>
            </w:r>
          </w:p>
        </w:tc>
        <w:tc>
          <w:tcPr>
            <w:tcW w:w="9520" w:type="dxa"/>
            <w:vAlign w:val="bottom"/>
            <w:tcBorders>
              <w:bottom w:val="single" w:sz="8" w:color="0000EE"/>
            </w:tcBorders>
            <w:gridSpan w:val="19"/>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Employment Letter Agreement between BioCryst Pharmaceuticals, Inc. and Alane P. Barnes dated August 8, 2013. Incorporated by</w:t>
              </w:r>
            </w:hyperlink>
          </w:p>
        </w:tc>
        <w:tc>
          <w:tcPr>
            <w:tcW w:w="50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reference to Exhibit 10.11 of the Company’s Form 10-K filed March 10, 2014.</w:t>
              </w:r>
            </w:hyperlink>
          </w:p>
        </w:tc>
      </w:tr>
      <w:tr>
        <w:trPr>
          <w:trHeight w:val="20"/>
        </w:trPr>
        <w:tc>
          <w:tcPr>
            <w:tcW w:w="1380" w:type="dxa"/>
            <w:vAlign w:val="bottom"/>
          </w:tcPr>
          <w:p>
            <w:pPr>
              <w:spacing w:after="0" w:line="20" w:lineRule="exact"/>
              <w:rPr>
                <w:sz w:val="1"/>
                <w:szCs w:val="1"/>
                <w:color w:val="auto"/>
              </w:rPr>
            </w:pPr>
          </w:p>
        </w:tc>
        <w:tc>
          <w:tcPr>
            <w:tcW w:w="5620" w:type="dxa"/>
            <w:vAlign w:val="bottom"/>
            <w:tcBorders>
              <w:right w:val="single" w:sz="8" w:color="0000EE"/>
            </w:tcBorders>
            <w:gridSpan w:val="3"/>
            <w:shd w:val="clear" w:color="auto" w:fill="0000EE"/>
          </w:tcPr>
          <w:p>
            <w:pPr>
              <w:spacing w:after="0" w:line="20" w:lineRule="exact"/>
              <w:rPr>
                <w:sz w:val="1"/>
                <w:szCs w:val="1"/>
                <w:color w:val="auto"/>
              </w:rPr>
            </w:pPr>
          </w:p>
        </w:tc>
        <w:tc>
          <w:tcPr>
            <w:tcW w:w="124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10.19&amp;</w:t>
            </w:r>
          </w:p>
        </w:tc>
        <w:tc>
          <w:tcPr>
            <w:tcW w:w="10020" w:type="dxa"/>
            <w:vAlign w:val="bottom"/>
            <w:gridSpan w:val="27"/>
          </w:tcPr>
          <w:p>
            <w:pPr>
              <w:spacing w:after="0"/>
              <w:rPr>
                <w:rFonts w:ascii="Arial" w:cs="Arial" w:eastAsia="Arial" w:hAnsi="Arial"/>
                <w:sz w:val="18"/>
                <w:szCs w:val="18"/>
                <w:color w:val="0000EE"/>
                <w:w w:val="94"/>
              </w:rPr>
            </w:pPr>
            <w:hyperlink r:id="rId129">
              <w:r>
                <w:rPr>
                  <w:rFonts w:ascii="Arial" w:cs="Arial" w:eastAsia="Arial" w:hAnsi="Arial"/>
                  <w:sz w:val="18"/>
                  <w:szCs w:val="18"/>
                  <w:color w:val="0000EE"/>
                  <w:w w:val="94"/>
                </w:rPr>
                <w:t>Employment Letter Agreement between BioCryst Pharmaceuticals, Inc. and Lynne Powell dated December 30, 2014. Incorporated by</w:t>
              </w:r>
            </w:hyperlink>
          </w:p>
        </w:tc>
      </w:tr>
      <w:tr>
        <w:trPr>
          <w:trHeight w:val="196"/>
        </w:trPr>
        <w:tc>
          <w:tcPr>
            <w:tcW w:w="1380" w:type="dxa"/>
            <w:vAlign w:val="bottom"/>
          </w:tcPr>
          <w:p>
            <w:pPr>
              <w:spacing w:after="0"/>
              <w:rPr>
                <w:sz w:val="17"/>
                <w:szCs w:val="17"/>
                <w:color w:val="auto"/>
              </w:rPr>
            </w:pPr>
          </w:p>
        </w:tc>
        <w:tc>
          <w:tcPr>
            <w:tcW w:w="5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reference to Exhibit 10.16 of the Company’s Form 10-K filed March 2, 2015.</w:t>
              </w:r>
            </w:hyperlink>
          </w:p>
        </w:tc>
        <w:tc>
          <w:tcPr>
            <w:tcW w:w="4080" w:type="dxa"/>
            <w:vAlign w:val="bottom"/>
            <w:tcBorders>
              <w:top w:val="single" w:sz="8" w:color="0000EE"/>
            </w:tcBorders>
            <w:gridSpan w:val="18"/>
          </w:tcPr>
          <w:p>
            <w:pPr>
              <w:spacing w:after="0"/>
              <w:rPr>
                <w:sz w:val="17"/>
                <w:szCs w:val="17"/>
                <w:color w:val="auto"/>
              </w:rPr>
            </w:pPr>
          </w:p>
        </w:tc>
        <w:tc>
          <w:tcPr>
            <w:tcW w:w="320" w:type="dxa"/>
            <w:vAlign w:val="bottom"/>
            <w:gridSpan w:val="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10.20#</w:t>
            </w:r>
          </w:p>
        </w:tc>
        <w:tc>
          <w:tcPr>
            <w:tcW w:w="10020" w:type="dxa"/>
            <w:vAlign w:val="bottom"/>
            <w:gridSpan w:val="27"/>
          </w:tcPr>
          <w:p>
            <w:pPr>
              <w:spacing w:after="0"/>
              <w:rPr>
                <w:rFonts w:ascii="Arial" w:cs="Arial" w:eastAsia="Arial" w:hAnsi="Arial"/>
                <w:sz w:val="18"/>
                <w:szCs w:val="18"/>
                <w:color w:val="0000EE"/>
                <w:w w:val="95"/>
              </w:rPr>
            </w:pPr>
            <w:hyperlink r:id="rId130">
              <w:r>
                <w:rPr>
                  <w:rFonts w:ascii="Arial" w:cs="Arial" w:eastAsia="Arial" w:hAnsi="Arial"/>
                  <w:sz w:val="18"/>
                  <w:szCs w:val="18"/>
                  <w:color w:val="0000EE"/>
                  <w:w w:val="95"/>
                </w:rPr>
                <w:t>Agreement dated January 3, 2007, between BioCryst Pharmaceuticals, Inc. and the Department of Health and Human Services, as</w:t>
              </w:r>
            </w:hyperlink>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6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130">
              <w:r>
                <w:rPr>
                  <w:rFonts w:ascii="Arial" w:cs="Arial" w:eastAsia="Arial" w:hAnsi="Arial"/>
                  <w:sz w:val="18"/>
                  <w:szCs w:val="18"/>
                  <w:color w:val="0000EE"/>
                  <w:w w:val="89"/>
                </w:rPr>
                <w:t>amended by Amendment number 1 dated January 3, 2007 and Amendment number 2 dated May 11, 2007. Incorporated by reference to</w:t>
              </w:r>
            </w:hyperlink>
          </w:p>
        </w:tc>
        <w:tc>
          <w:tcPr>
            <w:tcW w:w="26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3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Exhibit 10.3 to the Company’s Form 10-Q filed August 9, 2007. (Portions omitted pursuant to request for confidential treatment.)</w:t>
              </w:r>
            </w:hyperlink>
          </w:p>
        </w:tc>
        <w:tc>
          <w:tcPr>
            <w:tcW w:w="660" w:type="dxa"/>
            <w:vAlign w:val="bottom"/>
            <w:gridSpan w:val="1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10.21</w:t>
            </w:r>
          </w:p>
        </w:tc>
        <w:tc>
          <w:tcPr>
            <w:tcW w:w="10020" w:type="dxa"/>
            <w:vAlign w:val="bottom"/>
            <w:gridSpan w:val="27"/>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Amendment #3 to the Agreement between BioCryst Pharmaceuticals, Inc. and the Department of Health and Human Services, dated</w:t>
              </w:r>
            </w:hyperlink>
          </w:p>
        </w:tc>
      </w:tr>
      <w:tr>
        <w:trPr>
          <w:trHeight w:val="196"/>
        </w:trPr>
        <w:tc>
          <w:tcPr>
            <w:tcW w:w="138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October 2, 2007. Incorporated by reference to Exhibit 10.6 of the Company’s Form 10-K filed March 4, 2008.</w:t>
              </w:r>
            </w:hyperlink>
          </w:p>
        </w:tc>
        <w:tc>
          <w:tcPr>
            <w:tcW w:w="1600" w:type="dxa"/>
            <w:vAlign w:val="bottom"/>
            <w:tcBorders>
              <w:top w:val="single" w:sz="8" w:color="0000EE"/>
            </w:tcBorders>
            <w:gridSpan w:val="9"/>
          </w:tcPr>
          <w:p>
            <w:pPr>
              <w:spacing w:after="0"/>
              <w:rPr>
                <w:sz w:val="17"/>
                <w:szCs w:val="17"/>
                <w:color w:val="auto"/>
              </w:rPr>
            </w:pPr>
          </w:p>
        </w:tc>
        <w:tc>
          <w:tcPr>
            <w:tcW w:w="48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10.22</w:t>
            </w:r>
          </w:p>
        </w:tc>
        <w:tc>
          <w:tcPr>
            <w:tcW w:w="10020" w:type="dxa"/>
            <w:vAlign w:val="bottom"/>
            <w:gridSpan w:val="27"/>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Amendment #4 to the Agreement between BioCryst Pharmaceuticals, Inc. and the Department of Health and Human Services dated April</w:t>
              </w:r>
            </w:hyperlink>
          </w:p>
        </w:tc>
      </w:tr>
      <w:tr>
        <w:trPr>
          <w:trHeight w:val="196"/>
        </w:trPr>
        <w:tc>
          <w:tcPr>
            <w:tcW w:w="1380" w:type="dxa"/>
            <w:vAlign w:val="bottom"/>
          </w:tcPr>
          <w:p>
            <w:pPr>
              <w:spacing w:after="0"/>
              <w:rPr>
                <w:sz w:val="17"/>
                <w:szCs w:val="17"/>
                <w:color w:val="auto"/>
              </w:rPr>
            </w:pPr>
          </w:p>
        </w:tc>
        <w:tc>
          <w:tcPr>
            <w:tcW w:w="9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3, 2008. Incorporated by reference to Exhibit 10.29 of the Company’s Form 10-Q filed August 8, 2008.</w:t>
              </w:r>
            </w:hyperlink>
          </w:p>
        </w:tc>
        <w:tc>
          <w:tcPr>
            <w:tcW w:w="10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10.23</w:t>
            </w:r>
          </w:p>
        </w:tc>
        <w:tc>
          <w:tcPr>
            <w:tcW w:w="10020" w:type="dxa"/>
            <w:vAlign w:val="bottom"/>
            <w:tcBorders>
              <w:bottom w:val="single" w:sz="8" w:color="0000EE"/>
            </w:tcBorders>
            <w:gridSpan w:val="27"/>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Amendment #5 to the Agreement between BioCryst Pharmaceuticals, Inc. and the Department of Health and Human Services dated July 2,</w:t>
              </w:r>
            </w:hyperlink>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2008. Incorporated by reference to Exhibit 10.30 of the Company’s Form 10-Q filed August 8, 2008.</w:t>
              </w:r>
            </w:hyperlink>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10.24</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Amendment #6 to the Agreement between BioCryst Pharmaceuticals, Inc. and the Department of Health and Human Services dated</w:t>
              </w:r>
            </w:hyperlink>
          </w:p>
        </w:tc>
        <w:tc>
          <w:tcPr>
            <w:tcW w:w="52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August 18, 2008. Incorporated by reference to Exhibit 10.1 of the Company’s Form 8-K filed November 7, 2008.</w:t>
              </w:r>
            </w:hyperlink>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10.25</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Amendment #7 to the Agreement between BioCryst Pharmaceuticals, Inc. and the Department of Health and Human Services dated</w:t>
              </w:r>
            </w:hyperlink>
          </w:p>
        </w:tc>
        <w:tc>
          <w:tcPr>
            <w:tcW w:w="52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83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November 17, 2008. Incorporated by reference to Exhibit 10.12 of the Company’s Form 10-K filed March 6, 2009.</w:t>
              </w:r>
            </w:hyperlink>
          </w:p>
        </w:tc>
        <w:tc>
          <w:tcPr>
            <w:tcW w:w="172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10.26</w:t>
            </w:r>
          </w:p>
        </w:tc>
        <w:tc>
          <w:tcPr>
            <w:tcW w:w="10020" w:type="dxa"/>
            <w:vAlign w:val="bottom"/>
            <w:tcBorders>
              <w:bottom w:val="single" w:sz="8" w:color="0000EE"/>
            </w:tcBorders>
            <w:gridSpan w:val="27"/>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Amendment #8 to the Agreement between BioCryst Pharmaceuticals, Inc. and the Department of Health and Human Services dated March</w:t>
              </w:r>
            </w:hyperlink>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13, 2009. Incorporated by reference to Exhibit 10.13 of the Company’s Form 10-K filed March 9, 2010.</w:t>
              </w:r>
            </w:hyperlink>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10.27</w:t>
            </w:r>
          </w:p>
        </w:tc>
        <w:tc>
          <w:tcPr>
            <w:tcW w:w="9500" w:type="dxa"/>
            <w:vAlign w:val="bottom"/>
            <w:tcBorders>
              <w:bottom w:val="single" w:sz="8" w:color="0000EE"/>
            </w:tcBorders>
            <w:gridSpan w:val="18"/>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Amendment #9 to the Agreement between BioCryst Pharmaceuticals, Inc. and the Department of Health and Human Services dated</w:t>
              </w:r>
            </w:hyperlink>
          </w:p>
        </w:tc>
        <w:tc>
          <w:tcPr>
            <w:tcW w:w="52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2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September 18, 2009. Incorporated by reference to Exhibit 10.1 of the Company’s Form 10-Q filed November 6, 2009.</w:t>
              </w:r>
            </w:hyperlink>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40" w:type="dxa"/>
            <w:vAlign w:val="bottom"/>
            <w:gridSpan w:val="8"/>
            <w:shd w:val="clear" w:color="auto" w:fill="0000EE"/>
          </w:tcPr>
          <w:p>
            <w:pPr>
              <w:spacing w:after="0" w:line="20" w:lineRule="exact"/>
              <w:rPr>
                <w:sz w:val="1"/>
                <w:szCs w:val="1"/>
                <w:color w:val="auto"/>
              </w:rPr>
            </w:pPr>
          </w:p>
        </w:tc>
        <w:tc>
          <w:tcPr>
            <w:tcW w:w="14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10.28</w:t>
            </w:r>
          </w:p>
        </w:tc>
        <w:tc>
          <w:tcPr>
            <w:tcW w:w="10020" w:type="dxa"/>
            <w:vAlign w:val="bottom"/>
            <w:gridSpan w:val="27"/>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Amendment #10 to the Agreement between the Company and the U.S. Department of Health &amp; Human Services, dated October 15, 2009.</w:t>
              </w:r>
            </w:hyperlink>
          </w:p>
        </w:tc>
      </w:tr>
      <w:tr>
        <w:trPr>
          <w:trHeight w:val="196"/>
        </w:trPr>
        <w:tc>
          <w:tcPr>
            <w:tcW w:w="1380" w:type="dxa"/>
            <w:vAlign w:val="bottom"/>
          </w:tcPr>
          <w:p>
            <w:pPr>
              <w:spacing w:after="0"/>
              <w:rPr>
                <w:sz w:val="17"/>
                <w:szCs w:val="17"/>
                <w:color w:val="auto"/>
              </w:rPr>
            </w:pPr>
          </w:p>
        </w:tc>
        <w:tc>
          <w:tcPr>
            <w:tcW w:w="99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Incorporated by reference to Exhibit 10.2 of the Company’s Form 10-Q filed November 6, 2009.</w:t>
              </w:r>
            </w:hyperlink>
          </w:p>
        </w:tc>
        <w:tc>
          <w:tcPr>
            <w:tcW w:w="80" w:type="dxa"/>
            <w:vAlign w:val="bottom"/>
            <w:gridSpan w:val="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68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10.29</w:t>
            </w:r>
          </w:p>
        </w:tc>
        <w:tc>
          <w:tcPr>
            <w:tcW w:w="10020" w:type="dxa"/>
            <w:vAlign w:val="bottom"/>
            <w:gridSpan w:val="27"/>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Amendment #11 to the Agreement between the Company and the U.S. Department of Health &amp; Human Services, dated February 23, 2011.</w:t>
              </w:r>
            </w:hyperlink>
          </w:p>
        </w:tc>
      </w:tr>
      <w:tr>
        <w:trPr>
          <w:trHeight w:val="196"/>
        </w:trPr>
        <w:tc>
          <w:tcPr>
            <w:tcW w:w="138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Incorporated by reference to Exhibit 10.25 of the Company’s Form 10-K filed March 15, 2011.</w:t>
              </w:r>
            </w:hyperlink>
          </w:p>
        </w:tc>
        <w:tc>
          <w:tcPr>
            <w:tcW w:w="3140" w:type="dxa"/>
            <w:vAlign w:val="bottom"/>
            <w:tcBorders>
              <w:top w:val="single" w:sz="8" w:color="0000EE"/>
            </w:tcBorders>
            <w:gridSpan w:val="20"/>
          </w:tcPr>
          <w:p>
            <w:pPr>
              <w:spacing w:after="0"/>
              <w:rPr>
                <w:sz w:val="17"/>
                <w:szCs w:val="17"/>
                <w:color w:val="auto"/>
              </w:rPr>
            </w:pP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10.30</w:t>
            </w:r>
          </w:p>
        </w:tc>
        <w:tc>
          <w:tcPr>
            <w:tcW w:w="10020" w:type="dxa"/>
            <w:vAlign w:val="bottom"/>
            <w:gridSpan w:val="30"/>
          </w:tcPr>
          <w:p>
            <w:pPr>
              <w:spacing w:after="0"/>
              <w:rPr>
                <w:rFonts w:ascii="Arial" w:cs="Arial" w:eastAsia="Arial" w:hAnsi="Arial"/>
                <w:sz w:val="18"/>
                <w:szCs w:val="18"/>
                <w:color w:val="0000EE"/>
                <w:w w:val="93"/>
              </w:rPr>
            </w:pPr>
            <w:hyperlink r:id="rId141">
              <w:r>
                <w:rPr>
                  <w:rFonts w:ascii="Arial" w:cs="Arial" w:eastAsia="Arial" w:hAnsi="Arial"/>
                  <w:sz w:val="18"/>
                  <w:szCs w:val="18"/>
                  <w:color w:val="0000EE"/>
                  <w:w w:val="93"/>
                </w:rPr>
                <w:t>Stop-Work Order from U.S. Department of Health and Human Services, dated March 26, 2013, relating to Agreement dated January 3,</w:t>
              </w:r>
            </w:hyperlink>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2007 between the Company and the U.S. Department of Health and Human Services. Incorporated by reference to Exhibit 10.1 of the</w:t>
              </w:r>
            </w:hyperlink>
          </w:p>
        </w:tc>
        <w:tc>
          <w:tcPr>
            <w:tcW w:w="60" w:type="dxa"/>
            <w:vAlign w:val="bottom"/>
            <w:tcBorders>
              <w:top w:val="single" w:sz="8" w:color="0000EE"/>
            </w:tcBorders>
          </w:tcPr>
          <w:p>
            <w:pPr>
              <w:spacing w:after="0"/>
              <w:rPr>
                <w:sz w:val="17"/>
                <w:szCs w:val="17"/>
                <w:color w:val="auto"/>
              </w:rPr>
            </w:pPr>
          </w:p>
        </w:tc>
        <w:tc>
          <w:tcPr>
            <w:tcW w:w="30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0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Company’s Form 10-Q filed May 9, 2013.</w:t>
              </w:r>
            </w:hyperlink>
          </w:p>
        </w:tc>
        <w:tc>
          <w:tcPr>
            <w:tcW w:w="6960" w:type="dxa"/>
            <w:vAlign w:val="bottom"/>
            <w:gridSpan w:val="2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10.31</w:t>
            </w:r>
          </w:p>
        </w:tc>
        <w:tc>
          <w:tcPr>
            <w:tcW w:w="10020" w:type="dxa"/>
            <w:vAlign w:val="bottom"/>
            <w:tcBorders>
              <w:bottom w:val="single" w:sz="8" w:color="0000EE"/>
            </w:tcBorders>
            <w:gridSpan w:val="30"/>
          </w:tcPr>
          <w:p>
            <w:pPr>
              <w:spacing w:after="0"/>
              <w:rPr>
                <w:rFonts w:ascii="Arial" w:cs="Arial" w:eastAsia="Arial" w:hAnsi="Arial"/>
                <w:sz w:val="18"/>
                <w:szCs w:val="18"/>
                <w:color w:val="0000EE"/>
                <w:w w:val="90"/>
              </w:rPr>
            </w:pPr>
            <w:hyperlink r:id="rId142">
              <w:r>
                <w:rPr>
                  <w:rFonts w:ascii="Arial" w:cs="Arial" w:eastAsia="Arial" w:hAnsi="Arial"/>
                  <w:sz w:val="18"/>
                  <w:szCs w:val="18"/>
                  <w:color w:val="0000EE"/>
                  <w:w w:val="90"/>
                </w:rPr>
                <w:t>Amendment #13 to the Agreement between the Company and the U.S. Department of Health &amp; Human Services, dated February 15, 2012.</w:t>
              </w:r>
            </w:hyperlink>
          </w:p>
        </w:tc>
      </w:tr>
      <w:tr>
        <w:trPr>
          <w:trHeight w:val="196"/>
        </w:trPr>
        <w:tc>
          <w:tcPr>
            <w:tcW w:w="138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Incorporated by reference to Exhibit 10.23 of the Company’s Form 10-K filed March 10, 2014.</w:t>
              </w:r>
            </w:hyperlink>
          </w:p>
        </w:tc>
        <w:tc>
          <w:tcPr>
            <w:tcW w:w="3160" w:type="dxa"/>
            <w:vAlign w:val="bottom"/>
            <w:gridSpan w:val="2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10.32</w:t>
            </w:r>
          </w:p>
        </w:tc>
        <w:tc>
          <w:tcPr>
            <w:tcW w:w="96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Amendment #14 to the Agreement between the Company and the U.S. Department of Health &amp; Human Services, dated June 4, 2013.</w:t>
              </w:r>
            </w:hyperlink>
          </w:p>
        </w:tc>
        <w:tc>
          <w:tcPr>
            <w:tcW w:w="38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65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Incorporated by reference to Exhibit 10.1 of the Company’s Form 10-Q filed June 5, 2013.</w:t>
              </w:r>
            </w:hyperlink>
          </w:p>
        </w:tc>
        <w:tc>
          <w:tcPr>
            <w:tcW w:w="3480" w:type="dxa"/>
            <w:vAlign w:val="bottom"/>
            <w:gridSpan w:val="21"/>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10.33#</w:t>
            </w:r>
          </w:p>
        </w:tc>
        <w:tc>
          <w:tcPr>
            <w:tcW w:w="9620" w:type="dxa"/>
            <w:vAlign w:val="bottom"/>
            <w:tcBorders>
              <w:bottom w:val="single" w:sz="8" w:color="0000EE"/>
            </w:tcBorders>
            <w:gridSpan w:val="20"/>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Amendment #15 to the Agreement between the Company and the U.S. Department of Health &amp; Human Services, dated September 5,</w:t>
              </w:r>
            </w:hyperlink>
          </w:p>
        </w:tc>
        <w:tc>
          <w:tcPr>
            <w:tcW w:w="400" w:type="dxa"/>
            <w:vAlign w:val="bottom"/>
            <w:gridSpan w:val="10"/>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w w:val="95"/>
              </w:rPr>
            </w:pPr>
            <w:hyperlink r:id="rId144">
              <w:r>
                <w:rPr>
                  <w:rFonts w:ascii="Arial" w:cs="Arial" w:eastAsia="Arial" w:hAnsi="Arial"/>
                  <w:sz w:val="18"/>
                  <w:szCs w:val="18"/>
                  <w:color w:val="0000EE"/>
                  <w:w w:val="95"/>
                </w:rPr>
                <w:t>2013. Incorporated by reference to Exhibit 10.1 of the Company’s Form 10-Q filed November 8, 2013. (Portions omitted pursuant to</w:t>
              </w:r>
            </w:hyperlink>
          </w:p>
        </w:tc>
      </w:tr>
      <w:tr>
        <w:trPr>
          <w:trHeight w:val="196"/>
        </w:trPr>
        <w:tc>
          <w:tcPr>
            <w:tcW w:w="138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request for confidential treatment.)</w:t>
              </w:r>
            </w:hyperlink>
          </w:p>
        </w:tc>
        <w:tc>
          <w:tcPr>
            <w:tcW w:w="7040" w:type="dxa"/>
            <w:vAlign w:val="bottom"/>
            <w:tcBorders>
              <w:top w:val="single" w:sz="8" w:color="0000EE"/>
            </w:tcBorders>
            <w:gridSpan w:val="15"/>
          </w:tcPr>
          <w:p>
            <w:pPr>
              <w:spacing w:after="0"/>
              <w:rPr>
                <w:sz w:val="17"/>
                <w:szCs w:val="17"/>
                <w:color w:val="auto"/>
              </w:rPr>
            </w:pPr>
          </w:p>
        </w:tc>
        <w:tc>
          <w:tcPr>
            <w:tcW w:w="46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10.34</w:t>
            </w:r>
          </w:p>
        </w:tc>
        <w:tc>
          <w:tcPr>
            <w:tcW w:w="9660" w:type="dxa"/>
            <w:vAlign w:val="bottom"/>
            <w:tcBorders>
              <w:bottom w:val="single" w:sz="8" w:color="0000EE"/>
            </w:tcBorders>
            <w:gridSpan w:val="22"/>
          </w:tcPr>
          <w:p>
            <w:pPr>
              <w:spacing w:after="0"/>
              <w:rPr>
                <w:rFonts w:ascii="Arial" w:cs="Arial" w:eastAsia="Arial" w:hAnsi="Arial"/>
                <w:sz w:val="18"/>
                <w:szCs w:val="18"/>
                <w:color w:val="0000EE"/>
                <w:w w:val="90"/>
              </w:rPr>
            </w:pPr>
            <w:hyperlink r:id="rId145">
              <w:r>
                <w:rPr>
                  <w:rFonts w:ascii="Arial" w:cs="Arial" w:eastAsia="Arial" w:hAnsi="Arial"/>
                  <w:sz w:val="18"/>
                  <w:szCs w:val="18"/>
                  <w:color w:val="0000EE"/>
                  <w:w w:val="90"/>
                </w:rPr>
                <w:t>Amendment #16 to the Agreement between the Company and the U.S. Department of Health &amp; Human Services, dated December 17,</w:t>
              </w:r>
            </w:hyperlink>
          </w:p>
        </w:tc>
        <w:tc>
          <w:tcPr>
            <w:tcW w:w="36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74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2013. Incorporated by reference to Exhibit 10.1 of the Company’s Form 8-K filed December 23, 2013.</w:t>
              </w:r>
            </w:hyperlink>
          </w:p>
        </w:tc>
        <w:tc>
          <w:tcPr>
            <w:tcW w:w="2620" w:type="dxa"/>
            <w:vAlign w:val="bottom"/>
            <w:gridSpan w:val="1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10.35</w:t>
            </w:r>
          </w:p>
        </w:tc>
        <w:tc>
          <w:tcPr>
            <w:tcW w:w="10020" w:type="dxa"/>
            <w:vAlign w:val="bottom"/>
            <w:tcBorders>
              <w:bottom w:val="single" w:sz="8" w:color="0000EE"/>
            </w:tcBorders>
            <w:gridSpan w:val="30"/>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Amendment #17 to the Agreement between the Company and the U.S. Department of Health &amp; Human Services, dated February 21, 2014.</w:t>
              </w:r>
            </w:hyperlink>
          </w:p>
        </w:tc>
      </w:tr>
      <w:tr>
        <w:trPr>
          <w:trHeight w:val="196"/>
        </w:trPr>
        <w:tc>
          <w:tcPr>
            <w:tcW w:w="138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Incorporated by reference to Exhibit 10.1 of the Company’s Form 8-K filed February 26, 2014.</w:t>
              </w:r>
            </w:hyperlink>
          </w:p>
        </w:tc>
        <w:tc>
          <w:tcPr>
            <w:tcW w:w="3160" w:type="dxa"/>
            <w:vAlign w:val="bottom"/>
            <w:gridSpan w:val="20"/>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10.36</w:t>
            </w:r>
          </w:p>
        </w:tc>
        <w:tc>
          <w:tcPr>
            <w:tcW w:w="9360" w:type="dxa"/>
            <w:vAlign w:val="bottom"/>
            <w:tcBorders>
              <w:bottom w:val="single" w:sz="8" w:color="0000EE"/>
            </w:tcBorders>
            <w:gridSpan w:val="16"/>
          </w:tcPr>
          <w:p>
            <w:pPr>
              <w:spacing w:after="0"/>
              <w:rPr>
                <w:rFonts w:ascii="Arial" w:cs="Arial" w:eastAsia="Arial" w:hAnsi="Arial"/>
                <w:sz w:val="18"/>
                <w:szCs w:val="18"/>
                <w:color w:val="0000EE"/>
                <w:w w:val="91"/>
              </w:rPr>
            </w:pPr>
            <w:hyperlink r:id="rId147">
              <w:r>
                <w:rPr>
                  <w:rFonts w:ascii="Arial" w:cs="Arial" w:eastAsia="Arial" w:hAnsi="Arial"/>
                  <w:sz w:val="18"/>
                  <w:szCs w:val="18"/>
                  <w:color w:val="0000EE"/>
                  <w:w w:val="91"/>
                </w:rPr>
                <w:t>Order for Supplies or Services from the U.S. Department of Health &amp; Human Services, dated November 4, 2009. Incorporated by</w:t>
              </w:r>
            </w:hyperlink>
          </w:p>
        </w:tc>
        <w:tc>
          <w:tcPr>
            <w:tcW w:w="660" w:type="dxa"/>
            <w:vAlign w:val="bottom"/>
            <w:gridSpan w:val="1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55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reference to Exhibit 10.16 of the Company’s Form 10-K filed March 9, 2010.</w:t>
              </w:r>
            </w:hyperlink>
          </w:p>
        </w:tc>
        <w:tc>
          <w:tcPr>
            <w:tcW w:w="4440" w:type="dxa"/>
            <w:vAlign w:val="bottom"/>
            <w:gridSpan w:val="2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10.37</w:t>
            </w:r>
          </w:p>
        </w:tc>
        <w:tc>
          <w:tcPr>
            <w:tcW w:w="10000" w:type="dxa"/>
            <w:vAlign w:val="bottom"/>
            <w:tcBorders>
              <w:bottom w:val="single" w:sz="8" w:color="0000EE"/>
            </w:tcBorders>
            <w:gridSpan w:val="29"/>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Amendment #18 to the Agreement between BioCryst Pharmaceuticals, Inc. and the U.S. Department of Health and Human Services, dated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March 28, 2014. Incorporated by reference to Exhibit 10.1 to the Company’s Form 8-K filed April 3, 2014.</w:t>
              </w:r>
            </w:hyperlink>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10.38</w:t>
            </w:r>
          </w:p>
        </w:tc>
        <w:tc>
          <w:tcPr>
            <w:tcW w:w="10000" w:type="dxa"/>
            <w:vAlign w:val="bottom"/>
            <w:tcBorders>
              <w:bottom w:val="single" w:sz="8" w:color="0000EE"/>
            </w:tcBorders>
            <w:gridSpan w:val="29"/>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Amendment #19 to the Agreement between BioCryst Pharmaceuticals, Inc. and the U.S. Department of Health and Human Services, dated</w:t>
              </w:r>
            </w:hyperlink>
          </w:p>
        </w:tc>
        <w:tc>
          <w:tcPr>
            <w:tcW w:w="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April 29, 2014. Incorporated by reference to Exhibit 10.1 to the Company’s Form 8-K filed May 2, 2014.</w:t>
              </w:r>
            </w:hyperlink>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0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10.39</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Amendment #20 to the Agreement to the Agreement between BioCryst Pharmaceuticals, Inc. and the U.S. Department of Health and</w:t>
              </w:r>
            </w:hyperlink>
          </w:p>
        </w:tc>
        <w:tc>
          <w:tcPr>
            <w:tcW w:w="420" w:type="dxa"/>
            <w:vAlign w:val="bottom"/>
            <w:gridSpan w:val="11"/>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w w:val="98"/>
              </w:rPr>
            </w:pPr>
            <w:hyperlink r:id="rId150">
              <w:r>
                <w:rPr>
                  <w:rFonts w:ascii="Arial" w:cs="Arial" w:eastAsia="Arial" w:hAnsi="Arial"/>
                  <w:sz w:val="18"/>
                  <w:szCs w:val="18"/>
                  <w:color w:val="0000EE"/>
                  <w:w w:val="98"/>
                </w:rPr>
                <w:t>Human Services, dated May 30, 2014. Incorporated by reference to Exhibit 10.1 to the Company’s Form 8-K filed June 5, 2014.</w:t>
              </w:r>
            </w:hyperlink>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10.40#</w:t>
            </w:r>
          </w:p>
        </w:tc>
        <w:tc>
          <w:tcPr>
            <w:tcW w:w="9820" w:type="dxa"/>
            <w:vAlign w:val="bottom"/>
            <w:tcBorders>
              <w:bottom w:val="single" w:sz="8" w:color="0000EE"/>
            </w:tcBorders>
            <w:gridSpan w:val="2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License, Development and Commercialization Agreement dated as of February 28, 2007, by and between the Company and Shionogi &amp;</w:t>
              </w:r>
            </w:hyperlink>
          </w:p>
        </w:tc>
        <w:tc>
          <w:tcPr>
            <w:tcW w:w="20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2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Co., Ltd. Incorporated by reference to Exhibit 10.4 to the Company’s Form 10-Q filed May 10, 2007. (Portions omitted pursuant to request</w:t>
              </w:r>
            </w:hyperlink>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rPr>
            </w:pPr>
            <w:hyperlink r:id="rId151">
              <w:r>
                <w:rPr>
                  <w:rFonts w:ascii="Arial" w:cs="Arial" w:eastAsia="Arial" w:hAnsi="Arial"/>
                  <w:sz w:val="18"/>
                  <w:szCs w:val="18"/>
                  <w:color w:val="0000EE"/>
                </w:rPr>
                <w:t>for confidential treatment.)</w:t>
              </w:r>
            </w:hyperlink>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10.41#</w:t>
            </w:r>
          </w:p>
        </w:tc>
        <w:tc>
          <w:tcPr>
            <w:tcW w:w="10020" w:type="dxa"/>
            <w:vAlign w:val="bottom"/>
            <w:gridSpan w:val="30"/>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First Amendment to License, Development and Commercialization Agreement, effective as of September 30, 2008, between the Company</w:t>
              </w:r>
            </w:hyperlink>
          </w:p>
        </w:tc>
      </w:tr>
      <w:tr>
        <w:trPr>
          <w:trHeight w:val="196"/>
        </w:trPr>
        <w:tc>
          <w:tcPr>
            <w:tcW w:w="1380" w:type="dxa"/>
            <w:vAlign w:val="bottom"/>
          </w:tcPr>
          <w:p>
            <w:pPr>
              <w:spacing w:after="0"/>
              <w:rPr>
                <w:sz w:val="17"/>
                <w:szCs w:val="17"/>
                <w:color w:val="auto"/>
              </w:rPr>
            </w:pPr>
          </w:p>
        </w:tc>
        <w:tc>
          <w:tcPr>
            <w:tcW w:w="9980" w:type="dxa"/>
            <w:vAlign w:val="bottom"/>
            <w:tcBorders>
              <w:top w:val="single" w:sz="8" w:color="0000EE"/>
            </w:tcBorders>
            <w:gridSpan w:val="28"/>
          </w:tcPr>
          <w:p>
            <w:pPr>
              <w:spacing w:after="0" w:line="196" w:lineRule="exact"/>
              <w:rPr>
                <w:rFonts w:ascii="Arial" w:cs="Arial" w:eastAsia="Arial" w:hAnsi="Arial"/>
                <w:sz w:val="18"/>
                <w:szCs w:val="18"/>
                <w:color w:val="0000EE"/>
                <w:w w:val="92"/>
              </w:rPr>
            </w:pPr>
            <w:hyperlink r:id="rId152">
              <w:r>
                <w:rPr>
                  <w:rFonts w:ascii="Arial" w:cs="Arial" w:eastAsia="Arial" w:hAnsi="Arial"/>
                  <w:sz w:val="18"/>
                  <w:szCs w:val="18"/>
                  <w:color w:val="0000EE"/>
                  <w:w w:val="92"/>
                </w:rPr>
                <w:t>and Shionogi &amp; Co., Ltd. Incorporated by reference to Exhibit 10.19 to the Company’s Form 10-K filed March 6, 2009. (Portions omitted</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2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pursuant to request for confidential treatment.)</w:t>
              </w:r>
            </w:hyperlink>
          </w:p>
        </w:tc>
        <w:tc>
          <w:tcPr>
            <w:tcW w:w="10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10.42</w:t>
            </w:r>
          </w:p>
        </w:tc>
        <w:tc>
          <w:tcPr>
            <w:tcW w:w="10020" w:type="dxa"/>
            <w:vAlign w:val="bottom"/>
            <w:gridSpan w:val="30"/>
          </w:tcPr>
          <w:p>
            <w:pPr>
              <w:spacing w:after="0"/>
              <w:rPr>
                <w:rFonts w:ascii="Arial" w:cs="Arial" w:eastAsia="Arial" w:hAnsi="Arial"/>
                <w:sz w:val="18"/>
                <w:szCs w:val="18"/>
                <w:color w:val="0000EE"/>
                <w:w w:val="94"/>
              </w:rPr>
            </w:pPr>
            <w:hyperlink r:id="rId153">
              <w:r>
                <w:rPr>
                  <w:rFonts w:ascii="Arial" w:cs="Arial" w:eastAsia="Arial" w:hAnsi="Arial"/>
                  <w:sz w:val="18"/>
                  <w:szCs w:val="18"/>
                  <w:color w:val="0000EE"/>
                  <w:w w:val="94"/>
                </w:rPr>
                <w:t>Riverchase Business Park Warehouse Lease dated July 12, 2000 between RBP, LLC an Alabama Limited Liability Company and the</w:t>
              </w:r>
            </w:hyperlink>
          </w:p>
        </w:tc>
      </w:tr>
      <w:tr>
        <w:trPr>
          <w:trHeight w:val="20"/>
        </w:trPr>
        <w:tc>
          <w:tcPr>
            <w:tcW w:w="1380" w:type="dxa"/>
            <w:vAlign w:val="bottom"/>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40" w:type="dxa"/>
            <w:vAlign w:val="bottom"/>
            <w:gridSpan w:val="7"/>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5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Registrant for office/warehouse space. Incorporated by reference to Exhibit 10.8 to the Company’s Form 10-Q for the second quarter</w:t>
              </w:r>
            </w:hyperlink>
          </w:p>
        </w:tc>
        <w:tc>
          <w:tcPr>
            <w:tcW w:w="440" w:type="dxa"/>
            <w:vAlign w:val="bottom"/>
            <w:gridSpan w:val="1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1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ending June 30, 2000 filed August 8, 2000.</w:t>
              </w:r>
            </w:hyperlink>
          </w:p>
        </w:tc>
        <w:tc>
          <w:tcPr>
            <w:tcW w:w="6900" w:type="dxa"/>
            <w:vAlign w:val="bottom"/>
            <w:gridSpan w:val="2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10.43</w:t>
            </w:r>
          </w:p>
        </w:tc>
        <w:tc>
          <w:tcPr>
            <w:tcW w:w="10020" w:type="dxa"/>
            <w:vAlign w:val="bottom"/>
            <w:gridSpan w:val="30"/>
          </w:tcPr>
          <w:p>
            <w:pPr>
              <w:spacing w:after="0"/>
              <w:rPr>
                <w:rFonts w:ascii="Arial" w:cs="Arial" w:eastAsia="Arial" w:hAnsi="Arial"/>
                <w:sz w:val="18"/>
                <w:szCs w:val="18"/>
                <w:color w:val="0000EE"/>
                <w:w w:val="98"/>
              </w:rPr>
            </w:pPr>
            <w:hyperlink r:id="rId154">
              <w:r>
                <w:rPr>
                  <w:rFonts w:ascii="Arial" w:cs="Arial" w:eastAsia="Arial" w:hAnsi="Arial"/>
                  <w:sz w:val="18"/>
                  <w:szCs w:val="18"/>
                  <w:color w:val="0000EE"/>
                  <w:w w:val="98"/>
                </w:rPr>
                <w:t>Third Amendment to Lease Agreement dated August 7, 2007, by and between Riverchase Capital LLC, a Florida limited liability</w:t>
              </w:r>
            </w:hyperlink>
          </w:p>
        </w:tc>
      </w:tr>
      <w:tr>
        <w:trPr>
          <w:trHeight w:val="20"/>
        </w:trPr>
        <w:tc>
          <w:tcPr>
            <w:tcW w:w="1380" w:type="dxa"/>
            <w:vAlign w:val="bottom"/>
          </w:tcPr>
          <w:p>
            <w:pPr>
              <w:spacing w:after="0" w:line="20" w:lineRule="exact"/>
              <w:rPr>
                <w:sz w:val="1"/>
                <w:szCs w:val="1"/>
                <w:color w:val="auto"/>
              </w:rPr>
            </w:pPr>
          </w:p>
        </w:tc>
        <w:tc>
          <w:tcPr>
            <w:tcW w:w="576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40" w:type="dxa"/>
            <w:vAlign w:val="bottom"/>
            <w:gridSpan w:val="7"/>
            <w:shd w:val="clear" w:color="auto" w:fill="0000EE"/>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company, Stow Riverchase, LLC, a Florida limited liability company, as successor landlord to RBP, LLC and the Company. Incorporated</w:t>
              </w:r>
            </w:hyperlink>
          </w:p>
        </w:tc>
      </w:tr>
      <w:tr>
        <w:trPr>
          <w:trHeight w:val="196"/>
        </w:trPr>
        <w:tc>
          <w:tcPr>
            <w:tcW w:w="1380" w:type="dxa"/>
            <w:vAlign w:val="bottom"/>
          </w:tcPr>
          <w:p>
            <w:pPr>
              <w:spacing w:after="0"/>
              <w:rPr>
                <w:sz w:val="17"/>
                <w:szCs w:val="17"/>
                <w:color w:val="auto"/>
              </w:rPr>
            </w:pPr>
          </w:p>
        </w:tc>
        <w:tc>
          <w:tcPr>
            <w:tcW w:w="9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by reference to Exhibit 10.4 of the Company’s Form 10-Q filed August 9, 2007.</w:t>
              </w:r>
            </w:hyperlink>
          </w:p>
        </w:tc>
        <w:tc>
          <w:tcPr>
            <w:tcW w:w="14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76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20" w:type="dxa"/>
            <w:vAlign w:val="bottom"/>
            <w:gridSpan w:val="16"/>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10.44</w:t>
            </w:r>
          </w:p>
        </w:tc>
        <w:tc>
          <w:tcPr>
            <w:tcW w:w="10020" w:type="dxa"/>
            <w:vAlign w:val="bottom"/>
            <w:gridSpan w:val="30"/>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Fourth Amendment to the Lease Agreement dated February 1, 2012, by and between Riverchase Capital LLC, a Florida limited liability</w:t>
              </w:r>
            </w:hyperlink>
          </w:p>
        </w:tc>
      </w:tr>
      <w:tr>
        <w:trPr>
          <w:trHeight w:val="20"/>
        </w:trPr>
        <w:tc>
          <w:tcPr>
            <w:tcW w:w="1380" w:type="dxa"/>
            <w:vAlign w:val="bottom"/>
          </w:tcPr>
          <w:p>
            <w:pPr>
              <w:spacing w:after="0" w:line="20" w:lineRule="exact"/>
              <w:rPr>
                <w:sz w:val="1"/>
                <w:szCs w:val="1"/>
                <w:color w:val="auto"/>
              </w:rPr>
            </w:pPr>
          </w:p>
        </w:tc>
        <w:tc>
          <w:tcPr>
            <w:tcW w:w="5880" w:type="dxa"/>
            <w:vAlign w:val="bottom"/>
            <w:gridSpan w:val="8"/>
            <w:shd w:val="clear" w:color="auto" w:fill="0000EE"/>
          </w:tcPr>
          <w:p>
            <w:pPr>
              <w:spacing w:after="0" w:line="20" w:lineRule="exact"/>
              <w:rPr>
                <w:sz w:val="1"/>
                <w:szCs w:val="1"/>
                <w:color w:val="auto"/>
              </w:rPr>
            </w:pPr>
          </w:p>
        </w:tc>
        <w:tc>
          <w:tcPr>
            <w:tcW w:w="3920" w:type="dxa"/>
            <w:vAlign w:val="bottom"/>
            <w:gridSpan w:val="16"/>
            <w:shd w:val="clear" w:color="auto" w:fill="0000EE"/>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20" w:type="dxa"/>
            <w:vAlign w:val="bottom"/>
            <w:gridSpan w:val="30"/>
          </w:tcPr>
          <w:p>
            <w:pPr>
              <w:spacing w:after="0" w:line="196" w:lineRule="exact"/>
              <w:rPr>
                <w:rFonts w:ascii="Arial" w:cs="Arial" w:eastAsia="Arial" w:hAnsi="Arial"/>
                <w:sz w:val="18"/>
                <w:szCs w:val="18"/>
                <w:color w:val="0000EE"/>
                <w:w w:val="92"/>
              </w:rPr>
            </w:pPr>
            <w:hyperlink r:id="rId155">
              <w:r>
                <w:rPr>
                  <w:rFonts w:ascii="Arial" w:cs="Arial" w:eastAsia="Arial" w:hAnsi="Arial"/>
                  <w:sz w:val="18"/>
                  <w:szCs w:val="18"/>
                  <w:color w:val="0000EE"/>
                  <w:w w:val="92"/>
                </w:rPr>
                <w:t>company, Stow Riverchase, LLC, a Florida limited liability company, as successor landlord to RBP, LLC and the Company. Incorporated</w:t>
              </w:r>
            </w:hyperlink>
          </w:p>
        </w:tc>
      </w:tr>
      <w:tr>
        <w:trPr>
          <w:trHeight w:val="196"/>
        </w:trPr>
        <w:tc>
          <w:tcPr>
            <w:tcW w:w="1380" w:type="dxa"/>
            <w:vAlign w:val="bottom"/>
          </w:tcPr>
          <w:p>
            <w:pPr>
              <w:spacing w:after="0"/>
              <w:rPr>
                <w:sz w:val="17"/>
                <w:szCs w:val="17"/>
                <w:color w:val="auto"/>
              </w:rPr>
            </w:pPr>
          </w:p>
        </w:tc>
        <w:tc>
          <w:tcPr>
            <w:tcW w:w="98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by reference to Exhibit 10.27 of the Company’s Form 10-K filed March 11, 2013.</w:t>
              </w:r>
            </w:hyperlink>
          </w:p>
        </w:tc>
        <w:tc>
          <w:tcPr>
            <w:tcW w:w="14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00"/>
          </w:cols>
          <w:pgMar w:left="240" w:top="567" w:right="25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10.45</w:t>
            </w:r>
          </w:p>
        </w:tc>
        <w:tc>
          <w:tcPr>
            <w:tcW w:w="10040" w:type="dxa"/>
            <w:vAlign w:val="bottom"/>
            <w:gridSpan w:val="32"/>
          </w:tcPr>
          <w:p>
            <w:pPr>
              <w:spacing w:after="0"/>
              <w:rPr>
                <w:rFonts w:ascii="Arial" w:cs="Arial" w:eastAsia="Arial" w:hAnsi="Arial"/>
                <w:sz w:val="18"/>
                <w:szCs w:val="18"/>
                <w:color w:val="0000EE"/>
                <w:w w:val="97"/>
              </w:rPr>
            </w:pPr>
            <w:hyperlink r:id="rId157">
              <w:r>
                <w:rPr>
                  <w:rFonts w:ascii="Arial" w:cs="Arial" w:eastAsia="Arial" w:hAnsi="Arial"/>
                  <w:sz w:val="18"/>
                  <w:szCs w:val="18"/>
                  <w:color w:val="0000EE"/>
                  <w:w w:val="97"/>
                </w:rPr>
                <w:t>Fifth Amendment to Lease Agreement dated January 15, 2015, by and between Riverchase Capital LLC, a Florida limited liability</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company, Stow Riverchase, LLC, a Florida limited liability company, as successor landlord to RBP, LLC and the Company. Incorporated</w:t>
              </w:r>
            </w:hyperlink>
          </w:p>
        </w:tc>
        <w:tc>
          <w:tcPr>
            <w:tcW w:w="10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by reference to Exhibit 10.42 of the Company’s Form 10-K filed March 2, 2015.</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10.46</w:t>
            </w:r>
          </w:p>
        </w:tc>
        <w:tc>
          <w:tcPr>
            <w:tcW w:w="10040" w:type="dxa"/>
            <w:vAlign w:val="bottom"/>
            <w:gridSpan w:val="32"/>
          </w:tcPr>
          <w:p>
            <w:pPr>
              <w:spacing w:after="0"/>
              <w:rPr>
                <w:rFonts w:ascii="Arial" w:cs="Arial" w:eastAsia="Arial" w:hAnsi="Arial"/>
                <w:sz w:val="18"/>
                <w:szCs w:val="18"/>
                <w:color w:val="0000EE"/>
                <w:w w:val="95"/>
              </w:rPr>
            </w:pPr>
            <w:hyperlink r:id="rId158">
              <w:r>
                <w:rPr>
                  <w:rFonts w:ascii="Arial" w:cs="Arial" w:eastAsia="Arial" w:hAnsi="Arial"/>
                  <w:sz w:val="18"/>
                  <w:szCs w:val="18"/>
                  <w:color w:val="0000EE"/>
                  <w:w w:val="95"/>
                </w:rPr>
                <w:t>Stock and Warrant Purchase Agreement dated as of August 6, 2007, by and among BioCryst Pharmaceuticals, Inc. and each of the</w:t>
              </w:r>
            </w:hyperlink>
          </w:p>
        </w:tc>
      </w:tr>
      <w:tr>
        <w:trPr>
          <w:trHeight w:val="20"/>
        </w:trPr>
        <w:tc>
          <w:tcPr>
            <w:tcW w:w="13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w w:val="93"/>
              </w:rPr>
            </w:pPr>
            <w:hyperlink r:id="rId158">
              <w:r>
                <w:rPr>
                  <w:rFonts w:ascii="Arial" w:cs="Arial" w:eastAsia="Arial" w:hAnsi="Arial"/>
                  <w:sz w:val="18"/>
                  <w:szCs w:val="18"/>
                  <w:color w:val="0000EE"/>
                  <w:w w:val="93"/>
                </w:rPr>
                <w:t>Investors identified on the signature pages thereto. Incorporated by reference to Exhibit 4.1 of the Company’s Form 8-K filed August 7,</w:t>
              </w:r>
            </w:hyperlink>
          </w:p>
        </w:tc>
      </w:tr>
      <w:tr>
        <w:trPr>
          <w:trHeight w:val="196"/>
        </w:trPr>
        <w:tc>
          <w:tcPr>
            <w:tcW w:w="138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58">
              <w:r>
                <w:rPr>
                  <w:rFonts w:ascii="Arial" w:cs="Arial" w:eastAsia="Arial" w:hAnsi="Arial"/>
                  <w:sz w:val="18"/>
                  <w:szCs w:val="18"/>
                  <w:color w:val="0000EE"/>
                  <w:w w:val="88"/>
                </w:rPr>
                <w:t>2007.</w:t>
              </w:r>
            </w:hyperlink>
          </w:p>
        </w:tc>
        <w:tc>
          <w:tcPr>
            <w:tcW w:w="196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10.47</w:t>
            </w:r>
          </w:p>
        </w:tc>
        <w:tc>
          <w:tcPr>
            <w:tcW w:w="10040" w:type="dxa"/>
            <w:vAlign w:val="bottom"/>
            <w:gridSpan w:val="32"/>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Stock Purchase Agreement, dated as of February 17, 2005, by and among BioCryst Pharmaceuticals, Inc., Baker Bros. Investments, L.P.,</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EE"/>
            </w:tcBorders>
            <w:gridSpan w:val="23"/>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Baker Biotech Fund II, L.P., Baker Bros. Investments II, L.P., Baker Biotech Fund II (Z), L.P., Baker/Tisch Investments, L.P., Baker</w:t>
              </w:r>
            </w:hyperlink>
          </w:p>
        </w:tc>
        <w:tc>
          <w:tcPr>
            <w:tcW w:w="180" w:type="dxa"/>
            <w:vAlign w:val="bottom"/>
            <w:gridSpan w:val="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Biotech Fund III, L.P., Baker Biotech Fund I, L.P., Baker Biotech Fund III (Z), L.P. and 14159, L.P. Incorporated by reference to Exhibit</w:t>
              </w:r>
            </w:hyperlink>
          </w:p>
        </w:tc>
        <w:tc>
          <w:tcPr>
            <w:tcW w:w="20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4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4.</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Company’s Form 8-K filed February 17, 2005.</w:t>
              </w:r>
            </w:hyperlink>
          </w:p>
        </w:tc>
        <w:tc>
          <w:tcPr>
            <w:tcW w:w="5940" w:type="dxa"/>
            <w:vAlign w:val="bottom"/>
            <w:gridSpan w:val="2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10.48#</w:t>
            </w:r>
          </w:p>
        </w:tc>
        <w:tc>
          <w:tcPr>
            <w:tcW w:w="10040" w:type="dxa"/>
            <w:vAlign w:val="bottom"/>
            <w:gridSpan w:val="32"/>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Development and License Agreement dated as of February 1, 2006, by and between BioCryst Pharmaceuticals, Inc. and Mundipharma</w:t>
              </w:r>
            </w:hyperlink>
          </w:p>
        </w:tc>
      </w:tr>
      <w:tr>
        <w:trPr>
          <w:trHeight w:val="196"/>
        </w:trPr>
        <w:tc>
          <w:tcPr>
            <w:tcW w:w="138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International Holdings Limited. Incorporated by reference to Exhibit 10.2 to the Company’s Form 8-K/A filed May 2, 2006. (Portions</w:t>
              </w:r>
            </w:hyperlink>
          </w:p>
        </w:tc>
        <w:tc>
          <w:tcPr>
            <w:tcW w:w="40" w:type="dxa"/>
            <w:vAlign w:val="bottom"/>
            <w:tcBorders>
              <w:top w:val="single" w:sz="8" w:color="0000EE"/>
            </w:tcBorders>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omitted pursuant to request for confidential treatment.)</w:t>
              </w:r>
            </w:hyperlink>
          </w:p>
        </w:tc>
        <w:tc>
          <w:tcPr>
            <w:tcW w:w="6080" w:type="dxa"/>
            <w:vAlign w:val="bottom"/>
            <w:gridSpan w:val="2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10.49#</w:t>
            </w:r>
          </w:p>
        </w:tc>
        <w:tc>
          <w:tcPr>
            <w:tcW w:w="10040" w:type="dxa"/>
            <w:vAlign w:val="bottom"/>
            <w:gridSpan w:val="32"/>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Amended and Restated Development and License Agreement, dated as of November 11, 2011, by and between BioCryst Pharmaceuticals,</w:t>
              </w:r>
            </w:hyperlink>
          </w:p>
        </w:tc>
      </w:tr>
      <w:tr>
        <w:trPr>
          <w:trHeight w:val="196"/>
        </w:trPr>
        <w:tc>
          <w:tcPr>
            <w:tcW w:w="1380" w:type="dxa"/>
            <w:vAlign w:val="bottom"/>
          </w:tcPr>
          <w:p>
            <w:pPr>
              <w:spacing w:after="0"/>
              <w:rPr>
                <w:sz w:val="17"/>
                <w:szCs w:val="17"/>
                <w:color w:val="auto"/>
              </w:rPr>
            </w:pPr>
          </w:p>
        </w:tc>
        <w:tc>
          <w:tcPr>
            <w:tcW w:w="9960" w:type="dxa"/>
            <w:vAlign w:val="bottom"/>
            <w:tcBorders>
              <w:top w:val="single" w:sz="8" w:color="0000EE"/>
            </w:tcBorders>
            <w:gridSpan w:val="28"/>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Inc. and Mundipharma International Corporation Limited. Incorporated by reference to Exhibit 10.32 to the Company’s Form 10-K filed</w:t>
              </w:r>
            </w:hyperlink>
          </w:p>
        </w:tc>
        <w:tc>
          <w:tcPr>
            <w:tcW w:w="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1">
              <w:r>
                <w:rPr>
                  <w:rFonts w:ascii="Arial" w:cs="Arial" w:eastAsia="Arial" w:hAnsi="Arial"/>
                  <w:sz w:val="18"/>
                  <w:szCs w:val="18"/>
                  <w:color w:val="0000EE"/>
                </w:rPr>
                <w:t>March 6, 2012. (Portions omitted pursuant to request for confidential treatment.)</w:t>
              </w:r>
            </w:hyperlink>
          </w:p>
        </w:tc>
        <w:tc>
          <w:tcPr>
            <w:tcW w:w="200" w:type="dxa"/>
            <w:vAlign w:val="bottom"/>
            <w:gridSpan w:val="1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10.50#</w:t>
            </w:r>
          </w:p>
        </w:tc>
        <w:tc>
          <w:tcPr>
            <w:tcW w:w="10040" w:type="dxa"/>
            <w:vAlign w:val="bottom"/>
            <w:gridSpan w:val="32"/>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License Agreement dated as of June 27, 2000, by and among Albert Einstein College of Medicine, Industrial Research, Ltd. and BioCryst</w:t>
              </w:r>
            </w:hyperlink>
          </w:p>
        </w:tc>
      </w:tr>
      <w:tr>
        <w:trPr>
          <w:trHeight w:val="196"/>
        </w:trPr>
        <w:tc>
          <w:tcPr>
            <w:tcW w:w="1380" w:type="dxa"/>
            <w:vAlign w:val="bottom"/>
          </w:tcPr>
          <w:p>
            <w:pPr>
              <w:spacing w:after="0"/>
              <w:rPr>
                <w:sz w:val="17"/>
                <w:szCs w:val="17"/>
                <w:color w:val="auto"/>
              </w:rPr>
            </w:pPr>
          </w:p>
        </w:tc>
        <w:tc>
          <w:tcPr>
            <w:tcW w:w="990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89"/>
              </w:rPr>
            </w:pPr>
            <w:hyperlink r:id="rId162">
              <w:r>
                <w:rPr>
                  <w:rFonts w:ascii="Arial" w:cs="Arial" w:eastAsia="Arial" w:hAnsi="Arial"/>
                  <w:sz w:val="18"/>
                  <w:szCs w:val="18"/>
                  <w:color w:val="0000EE"/>
                  <w:w w:val="89"/>
                </w:rPr>
                <w:t>Pharmaceuticals, Inc., as amended by the First Amendment Agreement dated as of July 26, 2002 and the Second Amendment Agreement</w:t>
              </w:r>
            </w:hyperlink>
          </w:p>
        </w:tc>
        <w:tc>
          <w:tcPr>
            <w:tcW w:w="20" w:type="dxa"/>
            <w:vAlign w:val="bottom"/>
            <w:tcBorders>
              <w:top w:val="single" w:sz="8" w:color="0000EE"/>
            </w:tcBorders>
          </w:tcPr>
          <w:p>
            <w:pPr>
              <w:spacing w:after="0"/>
              <w:rPr>
                <w:sz w:val="17"/>
                <w:szCs w:val="17"/>
                <w:color w:val="auto"/>
              </w:rPr>
            </w:pPr>
          </w:p>
        </w:tc>
        <w:tc>
          <w:tcPr>
            <w:tcW w:w="12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6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dated as of April 15, 2005. Incorporated by reference to Exhibit 10.1 to the Company’s Form 8-K filed November 30, 2005. (Portions</w:t>
              </w:r>
            </w:hyperlink>
          </w:p>
        </w:tc>
        <w:tc>
          <w:tcPr>
            <w:tcW w:w="40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omitted pursuant to request for confidential treatment.)</w:t>
              </w:r>
            </w:hyperlink>
          </w:p>
        </w:tc>
        <w:tc>
          <w:tcPr>
            <w:tcW w:w="6080" w:type="dxa"/>
            <w:vAlign w:val="bottom"/>
            <w:gridSpan w:val="2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10.51#</w:t>
            </w:r>
          </w:p>
        </w:tc>
        <w:tc>
          <w:tcPr>
            <w:tcW w:w="10040" w:type="dxa"/>
            <w:vAlign w:val="bottom"/>
            <w:gridSpan w:val="32"/>
          </w:tcPr>
          <w:p>
            <w:pPr>
              <w:spacing w:after="0"/>
              <w:rPr>
                <w:rFonts w:ascii="Arial" w:cs="Arial" w:eastAsia="Arial" w:hAnsi="Arial"/>
                <w:sz w:val="18"/>
                <w:szCs w:val="18"/>
                <w:color w:val="0000EE"/>
              </w:rPr>
            </w:pPr>
            <w:hyperlink r:id="rId163">
              <w:r>
                <w:rPr>
                  <w:rFonts w:ascii="Arial" w:cs="Arial" w:eastAsia="Arial" w:hAnsi="Arial"/>
                  <w:sz w:val="18"/>
                  <w:szCs w:val="18"/>
                  <w:color w:val="0000EE"/>
                </w:rPr>
                <w:t>Third Amendment Agreement by and among Albert Einstein College of Medicine, Industrial Research, Ltd. and BioCryst</w:t>
              </w:r>
            </w:hyperlink>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5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Pharmaceuticals, Inc., dated as of December 11, 2009. Incorporated by reference to Exhibit 10.33 to the Company’s Form 10-K filed</w:t>
              </w:r>
            </w:hyperlink>
          </w:p>
        </w:tc>
        <w:tc>
          <w:tcPr>
            <w:tcW w:w="46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March 9, 2010. (Portions omitted 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10.52#</w:t>
            </w:r>
          </w:p>
        </w:tc>
        <w:tc>
          <w:tcPr>
            <w:tcW w:w="10040" w:type="dxa"/>
            <w:vAlign w:val="bottom"/>
            <w:gridSpan w:val="32"/>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Fourth Amendment Agreement by and among Albert Einstein College of Medicine, Industrial Research, Ltd. and BioCryst</w:t>
              </w:r>
            </w:hyperlink>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Pharmaceuticals, Inc., dated as of May 5, 2010. Incorporated by reference to Exhibit 10.1 to the Company’s Form 10-Q filed August 6,</w:t>
              </w:r>
            </w:hyperlink>
          </w:p>
        </w:tc>
        <w:tc>
          <w:tcPr>
            <w:tcW w:w="30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2010. (Portions omitted pursuant to request for confidential treatment.)</w:t>
              </w:r>
            </w:hyperlink>
          </w:p>
        </w:tc>
        <w:tc>
          <w:tcPr>
            <w:tcW w:w="4920" w:type="dxa"/>
            <w:vAlign w:val="bottom"/>
            <w:gridSpan w:val="2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10.53#</w:t>
            </w:r>
          </w:p>
        </w:tc>
        <w:tc>
          <w:tcPr>
            <w:tcW w:w="10040" w:type="dxa"/>
            <w:vAlign w:val="bottom"/>
            <w:gridSpan w:val="32"/>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Fifth Amendment Agreement by and among Albert Einstein College of Medicine, Industrial Research, Ltd. and BioCryst Pharmaceuticals,</w:t>
              </w:r>
            </w:hyperlink>
          </w:p>
        </w:tc>
      </w:tr>
      <w:tr>
        <w:trPr>
          <w:trHeight w:val="196"/>
        </w:trPr>
        <w:tc>
          <w:tcPr>
            <w:tcW w:w="1380" w:type="dxa"/>
            <w:vAlign w:val="bottom"/>
          </w:tcPr>
          <w:p>
            <w:pPr>
              <w:spacing w:after="0"/>
              <w:rPr>
                <w:sz w:val="17"/>
                <w:szCs w:val="17"/>
                <w:color w:val="auto"/>
              </w:rPr>
            </w:pPr>
          </w:p>
        </w:tc>
        <w:tc>
          <w:tcPr>
            <w:tcW w:w="10000" w:type="dxa"/>
            <w:vAlign w:val="bottom"/>
            <w:tcBorders>
              <w:top w:val="single" w:sz="8" w:color="0000EE"/>
            </w:tcBorders>
            <w:gridSpan w:val="30"/>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Inc., dated as of November 17, 2011. Incorporated by reference to Exhibit 10.36 to the Company’s Form 10-K filed March 6, 2012.</w:t>
              </w:r>
            </w:hyperlink>
          </w:p>
        </w:tc>
        <w:tc>
          <w:tcPr>
            <w:tcW w:w="4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4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(Portions omitted pursuant to request for confidential treatment.)</w:t>
              </w:r>
            </w:hyperlink>
          </w:p>
        </w:tc>
        <w:tc>
          <w:tcPr>
            <w:tcW w:w="580" w:type="dxa"/>
            <w:vAlign w:val="bottom"/>
            <w:gridSpan w:val="19"/>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10.54#</w:t>
            </w:r>
          </w:p>
        </w:tc>
        <w:tc>
          <w:tcPr>
            <w:tcW w:w="10040" w:type="dxa"/>
            <w:vAlign w:val="bottom"/>
            <w:tcBorders>
              <w:bottom w:val="single" w:sz="8" w:color="0000EE"/>
            </w:tcBorders>
            <w:gridSpan w:val="32"/>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Sixth Amendment Agreement by and among Albert Einstein College of Medicine, Industrial Research, Ltd. and BioCryst Pharmaceuticals,</w:t>
              </w:r>
            </w:hyperlink>
          </w:p>
        </w:tc>
      </w:tr>
      <w:tr>
        <w:trPr>
          <w:trHeight w:val="196"/>
        </w:trPr>
        <w:tc>
          <w:tcPr>
            <w:tcW w:w="13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Inc., dated as of June 19, 2012. Incorporated by reference to Exhibit 10.1 to the Company’s Form 10-Q filed August 8, 2012.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omitted pursuant to request for confidential treatment.)</w:t>
              </w:r>
            </w:hyperlink>
          </w:p>
        </w:tc>
        <w:tc>
          <w:tcPr>
            <w:tcW w:w="5740" w:type="dxa"/>
            <w:vAlign w:val="bottom"/>
            <w:tcBorders>
              <w:top w:val="single" w:sz="8" w:color="0000EE"/>
            </w:tcBorders>
            <w:gridSpan w:val="15"/>
          </w:tcPr>
          <w:p>
            <w:pPr>
              <w:spacing w:after="0"/>
              <w:rPr>
                <w:sz w:val="17"/>
                <w:szCs w:val="17"/>
                <w:color w:val="auto"/>
              </w:rPr>
            </w:pPr>
          </w:p>
        </w:tc>
        <w:tc>
          <w:tcPr>
            <w:tcW w:w="34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10.55</w:t>
            </w:r>
          </w:p>
        </w:tc>
        <w:tc>
          <w:tcPr>
            <w:tcW w:w="10040" w:type="dxa"/>
            <w:vAlign w:val="bottom"/>
            <w:gridSpan w:val="32"/>
          </w:tcPr>
          <w:p>
            <w:pPr>
              <w:spacing w:after="0"/>
              <w:rPr>
                <w:rFonts w:ascii="Arial" w:cs="Arial" w:eastAsia="Arial" w:hAnsi="Arial"/>
                <w:sz w:val="18"/>
                <w:szCs w:val="18"/>
                <w:color w:val="0000EE"/>
                <w:w w:val="94"/>
              </w:rPr>
            </w:pPr>
            <w:hyperlink r:id="rId167">
              <w:r>
                <w:rPr>
                  <w:rFonts w:ascii="Arial" w:cs="Arial" w:eastAsia="Arial" w:hAnsi="Arial"/>
                  <w:sz w:val="18"/>
                  <w:szCs w:val="18"/>
                  <w:color w:val="0000EE"/>
                  <w:w w:val="94"/>
                </w:rPr>
                <w:t>Novation Agreement among Albert Einstein College of Medicine of Yeshiva University, BioCryst Pharmaceuticals, Inc., Mundipharma</w:t>
              </w:r>
            </w:hyperlink>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180" w:type="dxa"/>
            <w:vAlign w:val="bottom"/>
            <w:gridSpan w:val="5"/>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gridSpan w:val="6"/>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International Corporation Limited, Callaghan Innovation Research Limited, and Victoria Link Limited, dated May 18, 2015. Incorporated</w:t>
              </w:r>
            </w:hyperlink>
          </w:p>
        </w:tc>
        <w:tc>
          <w:tcPr>
            <w:tcW w:w="6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5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by reference to Exhibit 10.6 to the Company’s Form 10-Q filed August 7, 2015.</w:t>
              </w:r>
            </w:hyperlink>
          </w:p>
        </w:tc>
        <w:tc>
          <w:tcPr>
            <w:tcW w:w="4240" w:type="dxa"/>
            <w:vAlign w:val="bottom"/>
            <w:gridSpan w:val="2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10.56</w:t>
            </w:r>
          </w:p>
        </w:tc>
        <w:tc>
          <w:tcPr>
            <w:tcW w:w="9500" w:type="dxa"/>
            <w:vAlign w:val="bottom"/>
            <w:tcBorders>
              <w:bottom w:val="single" w:sz="8" w:color="0000EE"/>
            </w:tcBorders>
            <w:gridSpan w:val="14"/>
          </w:tcPr>
          <w:p>
            <w:pPr>
              <w:spacing w:after="0"/>
              <w:rPr>
                <w:rFonts w:ascii="Arial" w:cs="Arial" w:eastAsia="Arial" w:hAnsi="Arial"/>
                <w:sz w:val="18"/>
                <w:szCs w:val="18"/>
                <w:color w:val="0000EE"/>
                <w:w w:val="92"/>
              </w:rPr>
            </w:pPr>
            <w:hyperlink r:id="rId168">
              <w:r>
                <w:rPr>
                  <w:rFonts w:ascii="Arial" w:cs="Arial" w:eastAsia="Arial" w:hAnsi="Arial"/>
                  <w:sz w:val="18"/>
                  <w:szCs w:val="18"/>
                  <w:color w:val="0000EE"/>
                  <w:w w:val="92"/>
                </w:rPr>
                <w:t>Novation Agreement among Albert Einstein College of Medicine of Yeshiva University, BioCryst Pharmaceuticals, Inc., Callaghan</w:t>
              </w:r>
            </w:hyperlink>
          </w:p>
        </w:tc>
        <w:tc>
          <w:tcPr>
            <w:tcW w:w="540" w:type="dxa"/>
            <w:vAlign w:val="bottom"/>
            <w:gridSpan w:val="1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32"/>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Innovation Research Limited, and Victoria Link Limited, dated June 24, 2015. Incorporated by reference to Exhibit 10.7 to the Company’s</w:t>
              </w:r>
            </w:hyperlink>
          </w:p>
        </w:tc>
      </w:tr>
      <w:tr>
        <w:trPr>
          <w:trHeight w:val="196"/>
        </w:trPr>
        <w:tc>
          <w:tcPr>
            <w:tcW w:w="1380" w:type="dxa"/>
            <w:vAlign w:val="bottom"/>
          </w:tcPr>
          <w:p>
            <w:pPr>
              <w:spacing w:after="0"/>
              <w:rPr>
                <w:sz w:val="17"/>
                <w:szCs w:val="17"/>
                <w:color w:val="auto"/>
              </w:rPr>
            </w:pPr>
          </w:p>
        </w:tc>
        <w:tc>
          <w:tcPr>
            <w:tcW w:w="10040" w:type="dxa"/>
            <w:vAlign w:val="bottom"/>
            <w:gridSpan w:val="32"/>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Form 10-Q filed August 7, 2015.</w:t>
              </w:r>
            </w:hyperlink>
          </w:p>
        </w:tc>
      </w:tr>
      <w:tr>
        <w:trPr>
          <w:trHeight w:val="20"/>
        </w:trPr>
        <w:tc>
          <w:tcPr>
            <w:tcW w:w="138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10.57</w:t>
            </w:r>
          </w:p>
        </w:tc>
        <w:tc>
          <w:tcPr>
            <w:tcW w:w="10040" w:type="dxa"/>
            <w:vAlign w:val="bottom"/>
            <w:gridSpan w:val="32"/>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Purchase and Sale Agreement, dated as of March 9, 2011 between BioCryst Pharmaceuticals, Inc. and JPR Royalty Sub LLC. Incorporated</w:t>
              </w:r>
            </w:hyperlink>
          </w:p>
        </w:tc>
      </w:tr>
      <w:tr>
        <w:trPr>
          <w:trHeight w:val="196"/>
        </w:trPr>
        <w:tc>
          <w:tcPr>
            <w:tcW w:w="1380" w:type="dxa"/>
            <w:vAlign w:val="bottom"/>
          </w:tcPr>
          <w:p>
            <w:pPr>
              <w:spacing w:after="0"/>
              <w:rPr>
                <w:sz w:val="17"/>
                <w:szCs w:val="17"/>
                <w:color w:val="auto"/>
              </w:rPr>
            </w:pPr>
          </w:p>
        </w:tc>
        <w:tc>
          <w:tcPr>
            <w:tcW w:w="1002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by reference to Exhibit 10.1 of the Company’s Form 10-Q filed May 6, 2011.</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5560" w:type="dxa"/>
            <w:vAlign w:val="bottom"/>
            <w:gridSpan w:val="7"/>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580" w:type="dxa"/>
            <w:vAlign w:val="bottom"/>
            <w:gridSpan w:val="15"/>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10.58</w:t>
            </w:r>
          </w:p>
        </w:tc>
        <w:tc>
          <w:tcPr>
            <w:tcW w:w="10040" w:type="dxa"/>
            <w:vAlign w:val="bottom"/>
            <w:gridSpan w:val="32"/>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Pledge and Security Agreement, dated as of March 9, 2011 between BioCryst Pharmaceuticals, Inc. and U.S. Bank National Association,</w:t>
              </w:r>
            </w:hyperlink>
          </w:p>
        </w:tc>
      </w:tr>
      <w:tr>
        <w:trPr>
          <w:trHeight w:val="196"/>
        </w:trPr>
        <w:tc>
          <w:tcPr>
            <w:tcW w:w="1380" w:type="dxa"/>
            <w:vAlign w:val="bottom"/>
          </w:tcPr>
          <w:p>
            <w:pPr>
              <w:spacing w:after="0"/>
              <w:rPr>
                <w:sz w:val="17"/>
                <w:szCs w:val="17"/>
                <w:color w:val="auto"/>
              </w:rPr>
            </w:pPr>
          </w:p>
        </w:tc>
        <w:tc>
          <w:tcPr>
            <w:tcW w:w="73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as trustee. Incorporated by reference to Exhibit 10.2 of the Company’s Form 10-Q filed May 6, 2011.</w:t>
              </w:r>
            </w:hyperlink>
          </w:p>
        </w:tc>
        <w:tc>
          <w:tcPr>
            <w:tcW w:w="2580" w:type="dxa"/>
            <w:vAlign w:val="bottom"/>
            <w:tcBorders>
              <w:top w:val="single" w:sz="8" w:color="0000EE"/>
            </w:tcBorders>
            <w:gridSpan w:val="15"/>
          </w:tcPr>
          <w:p>
            <w:pPr>
              <w:spacing w:after="0"/>
              <w:rPr>
                <w:sz w:val="17"/>
                <w:szCs w:val="17"/>
                <w:color w:val="auto"/>
              </w:rPr>
            </w:pPr>
          </w:p>
        </w:tc>
        <w:tc>
          <w:tcPr>
            <w:tcW w:w="160" w:type="dxa"/>
            <w:vAlign w:val="bottom"/>
            <w:gridSpan w:val="8"/>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10.59</w:t>
            </w:r>
          </w:p>
        </w:tc>
        <w:tc>
          <w:tcPr>
            <w:tcW w:w="9840" w:type="dxa"/>
            <w:vAlign w:val="bottom"/>
            <w:tcBorders>
              <w:bottom w:val="single" w:sz="8" w:color="0000EE"/>
            </w:tcBorders>
            <w:gridSpan w:val="13"/>
          </w:tcPr>
          <w:p>
            <w:pPr>
              <w:spacing w:after="0"/>
              <w:rPr>
                <w:rFonts w:ascii="Arial" w:cs="Arial" w:eastAsia="Arial" w:hAnsi="Arial"/>
                <w:sz w:val="18"/>
                <w:szCs w:val="18"/>
                <w:color w:val="0000EE"/>
                <w:w w:val="91"/>
              </w:rPr>
            </w:pPr>
            <w:hyperlink r:id="rId172">
              <w:r>
                <w:rPr>
                  <w:rFonts w:ascii="Arial" w:cs="Arial" w:eastAsia="Arial" w:hAnsi="Arial"/>
                  <w:sz w:val="18"/>
                  <w:szCs w:val="18"/>
                  <w:color w:val="0000EE"/>
                  <w:w w:val="91"/>
                </w:rPr>
                <w:t>Confirmation of terms and conditions of ISDA Master Agreement, dated as of March 7, 2011, between Morgan Stanley Capital Services</w:t>
              </w:r>
            </w:hyperlink>
          </w:p>
        </w:tc>
        <w:tc>
          <w:tcPr>
            <w:tcW w:w="20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Inc. and BioCryst Pharmaceuticals, Inc. dated as of March 9, 2011. Incorporated by reference to Exhibit 10.3 of the Company’s Form 10-Q</w:t>
              </w:r>
            </w:hyperlink>
          </w:p>
        </w:tc>
      </w:tr>
      <w:tr>
        <w:trPr>
          <w:trHeight w:val="196"/>
        </w:trPr>
        <w:tc>
          <w:tcPr>
            <w:tcW w:w="1380" w:type="dxa"/>
            <w:vAlign w:val="bottom"/>
          </w:tcPr>
          <w:p>
            <w:pPr>
              <w:spacing w:after="0"/>
              <w:rPr>
                <w:sz w:val="17"/>
                <w:szCs w:val="17"/>
                <w:color w:val="auto"/>
              </w:rPr>
            </w:pPr>
          </w:p>
        </w:tc>
        <w:tc>
          <w:tcPr>
            <w:tcW w:w="134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filed May 6, 2011.</w:t>
              </w:r>
            </w:hyperlink>
          </w:p>
        </w:tc>
        <w:tc>
          <w:tcPr>
            <w:tcW w:w="8700" w:type="dxa"/>
            <w:vAlign w:val="bottom"/>
            <w:gridSpan w:val="1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10.60#</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Agreement, dated as of September 12, 2013, between BioCryst Pharmaceuticals, Inc. and the National Institute of Allergy and Infectious</w:t>
              </w:r>
            </w:hyperlink>
          </w:p>
        </w:tc>
        <w:tc>
          <w:tcPr>
            <w:tcW w:w="16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Diseases. Incorporated by reference to Exhibit 10.2 of the Company’s Form 10-Q filed November 8, 2013. (Portions omitted pursuant to</w:t>
              </w:r>
            </w:hyperlink>
          </w:p>
        </w:tc>
        <w:tc>
          <w:tcPr>
            <w:tcW w:w="200" w:type="dxa"/>
            <w:vAlign w:val="bottom"/>
            <w:gridSpan w:val="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request for confidential treatment.)</w:t>
              </w:r>
            </w:hyperlink>
          </w:p>
        </w:tc>
        <w:tc>
          <w:tcPr>
            <w:tcW w:w="7520" w:type="dxa"/>
            <w:vAlign w:val="bottom"/>
            <w:gridSpan w:val="1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10.61#</w:t>
            </w:r>
          </w:p>
        </w:tc>
        <w:tc>
          <w:tcPr>
            <w:tcW w:w="9800" w:type="dxa"/>
            <w:vAlign w:val="bottom"/>
            <w:tcBorders>
              <w:bottom w:val="single" w:sz="8" w:color="0000EE"/>
            </w:tcBorders>
            <w:gridSpan w:val="11"/>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Amendment #1 to the Agreement between BioCryst Pharmaceuticals, Inc. and the National Institute of Allergy and Infectious Diseases,</w:t>
              </w:r>
            </w:hyperlink>
          </w:p>
        </w:tc>
        <w:tc>
          <w:tcPr>
            <w:tcW w:w="2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dated December 26, 2013. Incorporated by reference to Exhibit 10.51 to the Company’s Form 10-K filed on March 10, 2014. (Portions</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omitted pursuant to request for confidential treatment.)</w:t>
              </w:r>
            </w:hyperlink>
          </w:p>
        </w:tc>
        <w:tc>
          <w:tcPr>
            <w:tcW w:w="608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10.62#</w:t>
            </w:r>
          </w:p>
        </w:tc>
        <w:tc>
          <w:tcPr>
            <w:tcW w:w="10040" w:type="dxa"/>
            <w:vAlign w:val="bottom"/>
            <w:gridSpan w:val="20"/>
          </w:tcPr>
          <w:p>
            <w:pPr>
              <w:spacing w:after="0"/>
              <w:rPr>
                <w:rFonts w:ascii="Arial" w:cs="Arial" w:eastAsia="Arial" w:hAnsi="Arial"/>
                <w:sz w:val="18"/>
                <w:szCs w:val="18"/>
                <w:color w:val="0000EE"/>
                <w:w w:val="93"/>
              </w:rPr>
            </w:pPr>
            <w:hyperlink r:id="rId175">
              <w:r>
                <w:rPr>
                  <w:rFonts w:ascii="Arial" w:cs="Arial" w:eastAsia="Arial" w:hAnsi="Arial"/>
                  <w:sz w:val="18"/>
                  <w:szCs w:val="18"/>
                  <w:color w:val="0000EE"/>
                  <w:w w:val="93"/>
                </w:rPr>
                <w:t>Amendment #2 to the Agreement between BioCryst Pharmaceuticals, Inc. and the National Institute of Allergy and Infectious Diseases,</w:t>
              </w:r>
            </w:hyperlink>
          </w:p>
        </w:tc>
      </w:tr>
      <w:tr>
        <w:trPr>
          <w:trHeight w:val="196"/>
        </w:trPr>
        <w:tc>
          <w:tcPr>
            <w:tcW w:w="138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w w:val="93"/>
              </w:rPr>
            </w:pPr>
            <w:hyperlink r:id="rId175">
              <w:r>
                <w:rPr>
                  <w:rFonts w:ascii="Arial" w:cs="Arial" w:eastAsia="Arial" w:hAnsi="Arial"/>
                  <w:sz w:val="18"/>
                  <w:szCs w:val="18"/>
                  <w:color w:val="0000EE"/>
                  <w:w w:val="93"/>
                </w:rPr>
                <w:t>dated January 24, 2014. Incorporated by reference to Exhibit 10.52 to the Company’s Form 10-K filed on March 10, 2014. (Portions</w:t>
              </w:r>
            </w:hyperlink>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omitted pursuant to request for confidential treatment.)</w:t>
              </w:r>
            </w:hyperlink>
          </w:p>
        </w:tc>
        <w:tc>
          <w:tcPr>
            <w:tcW w:w="5660" w:type="dxa"/>
            <w:vAlign w:val="bottom"/>
            <w:tcBorders>
              <w:top w:val="single" w:sz="8" w:color="0000EE"/>
            </w:tcBorders>
            <w:gridSpan w:val="2"/>
          </w:tcPr>
          <w:p>
            <w:pPr>
              <w:spacing w:after="0"/>
              <w:rPr>
                <w:sz w:val="17"/>
                <w:szCs w:val="17"/>
                <w:color w:val="auto"/>
              </w:rPr>
            </w:pPr>
          </w:p>
        </w:tc>
        <w:tc>
          <w:tcPr>
            <w:tcW w:w="42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10.63#</w:t>
            </w:r>
          </w:p>
        </w:tc>
        <w:tc>
          <w:tcPr>
            <w:tcW w:w="9800" w:type="dxa"/>
            <w:vAlign w:val="bottom"/>
            <w:tcBorders>
              <w:bottom w:val="single" w:sz="8" w:color="0000EE"/>
            </w:tcBorders>
            <w:gridSpan w:val="11"/>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Amendment #3 to the Agreement between BioCryst Pharmaceuticals, Inc. and the National Institute of Allergy and Infectious Diseases,</w:t>
              </w:r>
            </w:hyperlink>
          </w:p>
        </w:tc>
        <w:tc>
          <w:tcPr>
            <w:tcW w:w="2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dated June 17, 2014. Incorporated by reference to Exhibit 10.5 to the Company’s Form 10-Q filed on August 8, 2014.  (Portions omitted</w:t>
              </w:r>
            </w:hyperlink>
          </w:p>
        </w:tc>
        <w:tc>
          <w:tcPr>
            <w:tcW w:w="12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10.64#</w:t>
            </w:r>
          </w:p>
        </w:tc>
        <w:tc>
          <w:tcPr>
            <w:tcW w:w="9800" w:type="dxa"/>
            <w:vAlign w:val="bottom"/>
            <w:tcBorders>
              <w:bottom w:val="single" w:sz="8" w:color="0000EE"/>
            </w:tcBorders>
            <w:gridSpan w:val="11"/>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Amendment #4 to the Agreement between BioCryst Pharmaceuticals, Inc. and the National Institute of Allergy and Infectious Diseases,</w:t>
              </w:r>
            </w:hyperlink>
          </w:p>
        </w:tc>
        <w:tc>
          <w:tcPr>
            <w:tcW w:w="2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dated June 17, 2014. Incorporated by reference to Exhibit 10.6 to the Company’s Form 10-Q filed on August 8, 2014. (Portions omitted</w:t>
              </w:r>
            </w:hyperlink>
          </w:p>
        </w:tc>
        <w:tc>
          <w:tcPr>
            <w:tcW w:w="220" w:type="dxa"/>
            <w:vAlign w:val="bottom"/>
            <w:gridSpan w:val="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10.65#</w:t>
            </w:r>
          </w:p>
        </w:tc>
        <w:tc>
          <w:tcPr>
            <w:tcW w:w="10040" w:type="dxa"/>
            <w:vAlign w:val="bottom"/>
            <w:gridSpan w:val="20"/>
          </w:tcPr>
          <w:p>
            <w:pPr>
              <w:spacing w:after="0"/>
              <w:rPr>
                <w:rFonts w:ascii="Arial" w:cs="Arial" w:eastAsia="Arial" w:hAnsi="Arial"/>
                <w:sz w:val="18"/>
                <w:szCs w:val="18"/>
                <w:color w:val="0000EE"/>
                <w:w w:val="93"/>
              </w:rPr>
            </w:pPr>
            <w:hyperlink r:id="rId178">
              <w:r>
                <w:rPr>
                  <w:rFonts w:ascii="Arial" w:cs="Arial" w:eastAsia="Arial" w:hAnsi="Arial"/>
                  <w:sz w:val="18"/>
                  <w:szCs w:val="18"/>
                  <w:color w:val="0000EE"/>
                  <w:w w:val="93"/>
                </w:rPr>
                <w:t>Amendment #5 to the Agreement between BioCryst Pharmaceuticals, Inc. and the National Institute of Allergy and Infectious Diseases,</w:t>
              </w:r>
            </w:hyperlink>
          </w:p>
        </w:tc>
      </w:tr>
      <w:tr>
        <w:trPr>
          <w:trHeight w:val="196"/>
        </w:trPr>
        <w:tc>
          <w:tcPr>
            <w:tcW w:w="1380" w:type="dxa"/>
            <w:vAlign w:val="bottom"/>
          </w:tcPr>
          <w:p>
            <w:pPr>
              <w:spacing w:after="0"/>
              <w:rPr>
                <w:sz w:val="17"/>
                <w:szCs w:val="17"/>
                <w:color w:val="auto"/>
              </w:rPr>
            </w:pPr>
          </w:p>
        </w:tc>
        <w:tc>
          <w:tcPr>
            <w:tcW w:w="9780" w:type="dxa"/>
            <w:vAlign w:val="bottom"/>
            <w:tcBorders>
              <w:top w:val="single" w:sz="8" w:color="0000EE"/>
            </w:tcBorders>
            <w:gridSpan w:val="10"/>
          </w:tcPr>
          <w:p>
            <w:pPr>
              <w:spacing w:after="0" w:line="196" w:lineRule="exact"/>
              <w:rPr>
                <w:rFonts w:ascii="Arial" w:cs="Arial" w:eastAsia="Arial" w:hAnsi="Arial"/>
                <w:sz w:val="18"/>
                <w:szCs w:val="18"/>
                <w:color w:val="0000EE"/>
                <w:w w:val="92"/>
              </w:rPr>
            </w:pPr>
            <w:hyperlink r:id="rId178">
              <w:r>
                <w:rPr>
                  <w:rFonts w:ascii="Arial" w:cs="Arial" w:eastAsia="Arial" w:hAnsi="Arial"/>
                  <w:sz w:val="18"/>
                  <w:szCs w:val="18"/>
                  <w:color w:val="0000EE"/>
                  <w:w w:val="92"/>
                </w:rPr>
                <w:t>dated August 11, 2014. Incorporated by reference to Exhibit 10.1 to the Company’s Form 10-Q filed on November 7, 2014. (Portions</w:t>
              </w:r>
            </w:hyperlink>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omitted pursuant to request for confidential treatment.)</w:t>
              </w:r>
            </w:hyperlink>
          </w:p>
        </w:tc>
        <w:tc>
          <w:tcPr>
            <w:tcW w:w="5680" w:type="dxa"/>
            <w:vAlign w:val="bottom"/>
            <w:tcBorders>
              <w:top w:val="single" w:sz="8" w:color="0000EE"/>
            </w:tcBorders>
            <w:gridSpan w:val="3"/>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10.66#</w:t>
            </w:r>
          </w:p>
        </w:tc>
        <w:tc>
          <w:tcPr>
            <w:tcW w:w="10040" w:type="dxa"/>
            <w:vAlign w:val="bottom"/>
            <w:gridSpan w:val="20"/>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Amendment #6 to the Agreement between BioCryst Pharmaceuticals, Inc. and the National Institute of Allergy and Infectious Diseases,</w:t>
              </w:r>
            </w:hyperlink>
          </w:p>
        </w:tc>
      </w:tr>
      <w:tr>
        <w:trPr>
          <w:trHeight w:val="196"/>
        </w:trPr>
        <w:tc>
          <w:tcPr>
            <w:tcW w:w="138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79">
              <w:r>
                <w:rPr>
                  <w:rFonts w:ascii="Arial" w:cs="Arial" w:eastAsia="Arial" w:hAnsi="Arial"/>
                  <w:sz w:val="18"/>
                  <w:szCs w:val="18"/>
                  <w:color w:val="0000EE"/>
                  <w:w w:val="92"/>
                </w:rPr>
                <w:t>dated August 27, 2014. Incorporated by reference to Exhibit 10.2 to the Company’s Form 10-Q filed on November 7, 2014. (Portions</w:t>
              </w:r>
            </w:hyperlink>
          </w:p>
        </w:tc>
        <w:tc>
          <w:tcPr>
            <w:tcW w:w="80" w:type="dxa"/>
            <w:vAlign w:val="bottom"/>
            <w:tcBorders>
              <w:top w:val="single" w:sz="8" w:color="0000EE"/>
            </w:tcBorders>
            <w:gridSpan w:val="2"/>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79">
              <w:r>
                <w:rPr>
                  <w:rFonts w:ascii="Arial" w:cs="Arial" w:eastAsia="Arial" w:hAnsi="Arial"/>
                  <w:sz w:val="18"/>
                  <w:szCs w:val="18"/>
                  <w:color w:val="0000EE"/>
                  <w:w w:val="90"/>
                </w:rPr>
                <w:t>omitted pursuant to request for confidential treatment.)</w:t>
              </w:r>
            </w:hyperlink>
          </w:p>
        </w:tc>
        <w:tc>
          <w:tcPr>
            <w:tcW w:w="608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10.67#</w:t>
            </w:r>
          </w:p>
        </w:tc>
        <w:tc>
          <w:tcPr>
            <w:tcW w:w="9800" w:type="dxa"/>
            <w:vAlign w:val="bottom"/>
            <w:tcBorders>
              <w:bottom w:val="single" w:sz="8" w:color="0000EE"/>
            </w:tcBorders>
            <w:gridSpan w:val="11"/>
          </w:tcPr>
          <w:p>
            <w:pPr>
              <w:spacing w:after="0"/>
              <w:rPr>
                <w:rFonts w:ascii="Arial" w:cs="Arial" w:eastAsia="Arial" w:hAnsi="Arial"/>
                <w:sz w:val="18"/>
                <w:szCs w:val="18"/>
                <w:color w:val="0000EE"/>
                <w:w w:val="91"/>
              </w:rPr>
            </w:pPr>
            <w:hyperlink r:id="rId180">
              <w:r>
                <w:rPr>
                  <w:rFonts w:ascii="Arial" w:cs="Arial" w:eastAsia="Arial" w:hAnsi="Arial"/>
                  <w:sz w:val="18"/>
                  <w:szCs w:val="18"/>
                  <w:color w:val="0000EE"/>
                  <w:w w:val="91"/>
                </w:rPr>
                <w:t>Amendment #8 to the Agreement between BioCryst Pharmaceuticals, Inc. and the National Institute of Allergy and Infectious Diseases,</w:t>
              </w:r>
            </w:hyperlink>
          </w:p>
        </w:tc>
        <w:tc>
          <w:tcPr>
            <w:tcW w:w="240" w:type="dxa"/>
            <w:vAlign w:val="bottom"/>
            <w:gridSpan w:val="9"/>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dated September 17, 2014. Incorporated by reference to Exhibit 10.3 to the Company’s Form 10-Q filed on November 7, 2014.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omitted pursuant to request for confidential treatment.)</w:t>
              </w:r>
            </w:hyperlink>
          </w:p>
        </w:tc>
        <w:tc>
          <w:tcPr>
            <w:tcW w:w="598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10.68#</w:t>
            </w:r>
          </w:p>
        </w:tc>
        <w:tc>
          <w:tcPr>
            <w:tcW w:w="10040" w:type="dxa"/>
            <w:vAlign w:val="bottom"/>
            <w:gridSpan w:val="20"/>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Amendment #9 to the Agreement between BioCryst Pharmaceuticals, Inc. and the National Institute of Allergy and Infectious Diseases,</w:t>
              </w:r>
            </w:hyperlink>
          </w:p>
        </w:tc>
      </w:tr>
      <w:tr>
        <w:trPr>
          <w:trHeight w:val="196"/>
        </w:trPr>
        <w:tc>
          <w:tcPr>
            <w:tcW w:w="1380" w:type="dxa"/>
            <w:vAlign w:val="bottom"/>
          </w:tcPr>
          <w:p>
            <w:pPr>
              <w:spacing w:after="0"/>
              <w:rPr>
                <w:sz w:val="17"/>
                <w:szCs w:val="17"/>
                <w:color w:val="auto"/>
              </w:rPr>
            </w:pPr>
          </w:p>
        </w:tc>
        <w:tc>
          <w:tcPr>
            <w:tcW w:w="9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81">
              <w:r>
                <w:rPr>
                  <w:rFonts w:ascii="Arial" w:cs="Arial" w:eastAsia="Arial" w:hAnsi="Arial"/>
                  <w:sz w:val="18"/>
                  <w:szCs w:val="18"/>
                  <w:color w:val="0000EE"/>
                  <w:w w:val="91"/>
                </w:rPr>
                <w:t>dated October 29, 2014. Incorporated by reference to Exhibit 10.4 to the Company’s Form 10-Q filed on November 7, 2014. (Portions</w:t>
              </w:r>
            </w:hyperlink>
          </w:p>
        </w:tc>
        <w:tc>
          <w:tcPr>
            <w:tcW w:w="20" w:type="dxa"/>
            <w:vAlign w:val="bottom"/>
            <w:tcBorders>
              <w:top w:val="single" w:sz="8" w:color="0000EE"/>
            </w:tcBorders>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omitted pursuant to request for confidential treatment.)</w:t>
              </w:r>
            </w:hyperlink>
          </w:p>
        </w:tc>
        <w:tc>
          <w:tcPr>
            <w:tcW w:w="6080" w:type="dxa"/>
            <w:vAlign w:val="bottom"/>
            <w:gridSpan w:val="16"/>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10.69#</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Amendment #10 to the Agreement between BioCryst Pharmaceuticals, Inc. and the National Institute of Allergy and Infectious Diseases,</w:t>
              </w:r>
            </w:hyperlink>
          </w:p>
        </w:tc>
        <w:tc>
          <w:tcPr>
            <w:tcW w:w="14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dated February 13, 2015. Incorporated by reference to Exhibit 10.2 to the Company’s Form 10-Q filed on August 7, 2015.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82">
              <w:r>
                <w:rPr>
                  <w:rFonts w:ascii="Arial" w:cs="Arial" w:eastAsia="Arial" w:hAnsi="Arial"/>
                  <w:sz w:val="18"/>
                  <w:szCs w:val="18"/>
                  <w:color w:val="0000EE"/>
                  <w:w w:val="90"/>
                </w:rPr>
                <w:t>omitted pursuant to request for confidential treatment.)</w:t>
              </w:r>
            </w:hyperlink>
          </w:p>
        </w:tc>
        <w:tc>
          <w:tcPr>
            <w:tcW w:w="5620" w:type="dxa"/>
            <w:vAlign w:val="bottom"/>
            <w:tcBorders>
              <w:top w:val="single" w:sz="8" w:color="0000EE"/>
            </w:tcBorders>
          </w:tcPr>
          <w:p>
            <w:pPr>
              <w:spacing w:after="0"/>
              <w:rPr>
                <w:sz w:val="17"/>
                <w:szCs w:val="17"/>
                <w:color w:val="auto"/>
              </w:rPr>
            </w:pPr>
          </w:p>
        </w:tc>
        <w:tc>
          <w:tcPr>
            <w:tcW w:w="46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10.70#</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Amendment #11 to the Agreement between BioCryst Pharmaceuticals, Inc. and the National Institute of Allergy and Infectious Diseases,</w:t>
              </w:r>
            </w:hyperlink>
          </w:p>
        </w:tc>
        <w:tc>
          <w:tcPr>
            <w:tcW w:w="160" w:type="dxa"/>
            <w:vAlign w:val="bottom"/>
            <w:gridSpan w:val="5"/>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dated March 19, 2015. Incorporated by reference to Exhibit 10.3 to the Company’s Form 10-Q filed on August 7, 2015. (Portions omitted</w:t>
              </w:r>
            </w:hyperlink>
          </w:p>
        </w:tc>
      </w:tr>
      <w:tr>
        <w:trPr>
          <w:trHeight w:val="196"/>
        </w:trPr>
        <w:tc>
          <w:tcPr>
            <w:tcW w:w="1380" w:type="dxa"/>
            <w:vAlign w:val="bottom"/>
          </w:tcPr>
          <w:p>
            <w:pPr>
              <w:spacing w:after="0"/>
              <w:rPr>
                <w:sz w:val="17"/>
                <w:szCs w:val="17"/>
                <w:color w:val="auto"/>
              </w:rPr>
            </w:pPr>
          </w:p>
        </w:tc>
        <w:tc>
          <w:tcPr>
            <w:tcW w:w="10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pursuant to request for confidential treatment.)</w:t>
              </w:r>
            </w:hyperlink>
          </w:p>
        </w:tc>
        <w:tc>
          <w:tcPr>
            <w:tcW w:w="4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500" w:type="dxa"/>
            <w:vAlign w:val="bottom"/>
            <w:gridSpan w:val="11"/>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10.71#</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4">
              <w:r>
                <w:rPr>
                  <w:rFonts w:ascii="Arial" w:cs="Arial" w:eastAsia="Arial" w:hAnsi="Arial"/>
                  <w:sz w:val="18"/>
                  <w:szCs w:val="18"/>
                  <w:color w:val="0000EE"/>
                  <w:w w:val="91"/>
                </w:rPr>
                <w:t>Amendment #12 to the Agreement between BioCryst Pharmaceuticals, Inc. and the National Institute of Allergy and Infectious Diseases,</w:t>
              </w:r>
            </w:hyperlink>
          </w:p>
        </w:tc>
        <w:tc>
          <w:tcPr>
            <w:tcW w:w="14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dated June 12, 2015. Incorporated by reference to Exhibit 10.4 to the Company’s Form 10-Q filed on August 7, 2015. (Portions omitted</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pursuant to request for confidential treatment.)</w:t>
              </w:r>
            </w:hyperlink>
          </w:p>
        </w:tc>
        <w:tc>
          <w:tcPr>
            <w:tcW w:w="18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3360" w:type="dxa"/>
            <w:vAlign w:val="bottom"/>
            <w:gridSpan w:val="3"/>
            <w:shd w:val="clear" w:color="auto" w:fill="0000EE"/>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10.72#</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Amendment #13 to the Agreement between BioCryst Pharmaceuticals, Inc. and the National Institute of Allergy and Infectious Diseases,</w:t>
              </w:r>
            </w:hyperlink>
          </w:p>
        </w:tc>
        <w:tc>
          <w:tcPr>
            <w:tcW w:w="14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EE"/>
                <w:w w:val="93"/>
              </w:rPr>
            </w:pPr>
            <w:hyperlink r:id="rId185">
              <w:r>
                <w:rPr>
                  <w:rFonts w:ascii="Arial" w:cs="Arial" w:eastAsia="Arial" w:hAnsi="Arial"/>
                  <w:sz w:val="18"/>
                  <w:szCs w:val="18"/>
                  <w:color w:val="0000EE"/>
                  <w:w w:val="93"/>
                </w:rPr>
                <w:t>dated June 17, 2015. Incorporated by reference to Exhibit 10.5 to the Company’s Form 10-Q filed on August 7, 2015. (Portions omitted</w:t>
              </w:r>
            </w:hyperlink>
          </w:p>
        </w:tc>
      </w:tr>
      <w:tr>
        <w:trPr>
          <w:trHeight w:val="196"/>
        </w:trPr>
        <w:tc>
          <w:tcPr>
            <w:tcW w:w="138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pursuant to request for confidential treatment.)</w:t>
              </w:r>
            </w:hyperlink>
          </w:p>
        </w:tc>
        <w:tc>
          <w:tcPr>
            <w:tcW w:w="180" w:type="dxa"/>
            <w:vAlign w:val="bottom"/>
            <w:gridSpan w:val="6"/>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10.73#</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7">
              <w:r>
                <w:rPr>
                  <w:rFonts w:ascii="Arial" w:cs="Arial" w:eastAsia="Arial" w:hAnsi="Arial"/>
                  <w:sz w:val="18"/>
                  <w:szCs w:val="18"/>
                  <w:color w:val="0000EE"/>
                  <w:w w:val="91"/>
                </w:rPr>
                <w:t>Amendment #14 to the Agreement between BioCryst Pharmaceuticals, Inc. and the National Institute of Allergy and Infectious Diseases,</w:t>
              </w:r>
            </w:hyperlink>
          </w:p>
        </w:tc>
        <w:tc>
          <w:tcPr>
            <w:tcW w:w="8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dated September 16, 2015. Incorporated by reference to Exhibit 10.3 to the Company’s Form 10-Q filed on November 6, 2015.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87">
              <w:r>
                <w:rPr>
                  <w:rFonts w:ascii="Arial" w:cs="Arial" w:eastAsia="Arial" w:hAnsi="Arial"/>
                  <w:sz w:val="18"/>
                  <w:szCs w:val="18"/>
                  <w:color w:val="0000EE"/>
                  <w:w w:val="90"/>
                </w:rPr>
                <w:t>omitted pursuant to request for confidential treatment.)</w:t>
              </w:r>
            </w:hyperlink>
          </w:p>
        </w:tc>
        <w:tc>
          <w:tcPr>
            <w:tcW w:w="598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10.74</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Amendment #15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2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dated November 16, 2015. Incorporated by reference to Exhibit 10.70 to the Company’s Form 10-K filed on February 26, 2016.</w:t>
              </w:r>
            </w:hyperlink>
          </w:p>
        </w:tc>
        <w:tc>
          <w:tcPr>
            <w:tcW w:w="760" w:type="dxa"/>
            <w:vAlign w:val="bottom"/>
            <w:gridSpan w:val="12"/>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10.75#</w:t>
            </w: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89">
              <w:r>
                <w:rPr>
                  <w:rFonts w:ascii="Arial" w:cs="Arial" w:eastAsia="Arial" w:hAnsi="Arial"/>
                  <w:sz w:val="18"/>
                  <w:szCs w:val="18"/>
                  <w:color w:val="0000EE"/>
                  <w:w w:val="91"/>
                </w:rPr>
                <w:t>Amendment #16 to the Agreement between BioCryst Pharmaceuticals, Inc. and the National Institute of Allergy and Infectious Diseases,</w:t>
              </w:r>
            </w:hyperlink>
          </w:p>
        </w:tc>
        <w:tc>
          <w:tcPr>
            <w:tcW w:w="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dated December 18, 2015. Incorporated by reference to Exhibit 10.71 to the Company’s Form 10-K filed on February 26, 2016. (Portions</w:t>
              </w:r>
            </w:hyperlink>
          </w:p>
        </w:tc>
        <w:tc>
          <w:tcPr>
            <w:tcW w:w="8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89">
              <w:r>
                <w:rPr>
                  <w:rFonts w:ascii="Arial" w:cs="Arial" w:eastAsia="Arial" w:hAnsi="Arial"/>
                  <w:sz w:val="18"/>
                  <w:szCs w:val="18"/>
                  <w:color w:val="0000EE"/>
                  <w:w w:val="90"/>
                </w:rPr>
                <w:t>omitted pursuant to request for confidential treatment.)</w:t>
              </w:r>
            </w:hyperlink>
          </w:p>
        </w:tc>
        <w:tc>
          <w:tcPr>
            <w:tcW w:w="602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10.76</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Amendment #17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8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dated April 18, 2016. Incorporated by reference to Exhibit 10.74 to the Company’s Form 10-K filed on February 27, 2017.</w:t>
              </w:r>
            </w:hyperlink>
          </w:p>
        </w:tc>
        <w:tc>
          <w:tcPr>
            <w:tcW w:w="114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10.77#</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Amendment #18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1">
              <w:r>
                <w:rPr>
                  <w:rFonts w:ascii="Arial" w:cs="Arial" w:eastAsia="Arial" w:hAnsi="Arial"/>
                  <w:sz w:val="18"/>
                  <w:szCs w:val="18"/>
                  <w:color w:val="0000EE"/>
                  <w:w w:val="91"/>
                </w:rPr>
                <w:t>dated June 30, 2016. Incorporated by reference to Exhibit 10.3 to the Company’s Form 10-Q filed on August 8, 2016. (Portions omitted</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rPr>
            </w:pPr>
            <w:hyperlink r:id="rId191">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10.78#</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2">
              <w:r>
                <w:rPr>
                  <w:rFonts w:ascii="Arial" w:cs="Arial" w:eastAsia="Arial" w:hAnsi="Arial"/>
                  <w:sz w:val="18"/>
                  <w:szCs w:val="18"/>
                  <w:color w:val="0000EE"/>
                  <w:w w:val="90"/>
                </w:rPr>
                <w:t>Amendment #19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w w:val="94"/>
              </w:rPr>
            </w:pPr>
            <w:hyperlink r:id="rId192">
              <w:r>
                <w:rPr>
                  <w:rFonts w:ascii="Arial" w:cs="Arial" w:eastAsia="Arial" w:hAnsi="Arial"/>
                  <w:sz w:val="18"/>
                  <w:szCs w:val="18"/>
                  <w:color w:val="0000EE"/>
                  <w:w w:val="94"/>
                </w:rPr>
                <w:t>dated August 10, 2016. Incorporated by reference to Exhibit 10.1 to the Company’s Form 10-Q filed on November 8, 2016.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92">
              <w:r>
                <w:rPr>
                  <w:rFonts w:ascii="Arial" w:cs="Arial" w:eastAsia="Arial" w:hAnsi="Arial"/>
                  <w:sz w:val="18"/>
                  <w:szCs w:val="18"/>
                  <w:color w:val="0000EE"/>
                  <w:w w:val="90"/>
                </w:rPr>
                <w:t>omitted pursuant to request for confidential treatment.)</w:t>
              </w:r>
            </w:hyperlink>
          </w:p>
        </w:tc>
        <w:tc>
          <w:tcPr>
            <w:tcW w:w="5640" w:type="dxa"/>
            <w:vAlign w:val="bottom"/>
            <w:tcBorders>
              <w:top w:val="single" w:sz="8" w:color="0000EE"/>
            </w:tcBorders>
            <w:gridSpan w:val="6"/>
          </w:tcPr>
          <w:p>
            <w:pPr>
              <w:spacing w:after="0"/>
              <w:rPr>
                <w:sz w:val="17"/>
                <w:szCs w:val="17"/>
                <w:color w:val="auto"/>
              </w:rPr>
            </w:pPr>
          </w:p>
        </w:tc>
        <w:tc>
          <w:tcPr>
            <w:tcW w:w="38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10.79#</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Amendment #20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w w:val="94"/>
              </w:rPr>
            </w:pPr>
            <w:hyperlink r:id="rId193">
              <w:r>
                <w:rPr>
                  <w:rFonts w:ascii="Arial" w:cs="Arial" w:eastAsia="Arial" w:hAnsi="Arial"/>
                  <w:sz w:val="18"/>
                  <w:szCs w:val="18"/>
                  <w:color w:val="0000EE"/>
                  <w:w w:val="94"/>
                </w:rPr>
                <w:t>dated January 9, 2017. Incorporated by reference to Exhibit 10.77 to the Company’s Form 10-K filed on February 27, 2017. (Portions</w:t>
              </w:r>
            </w:hyperlink>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93">
              <w:r>
                <w:rPr>
                  <w:rFonts w:ascii="Arial" w:cs="Arial" w:eastAsia="Arial" w:hAnsi="Arial"/>
                  <w:sz w:val="18"/>
                  <w:szCs w:val="18"/>
                  <w:color w:val="0000EE"/>
                  <w:w w:val="90"/>
                </w:rPr>
                <w:t>omitted pursuant to request for confidential treatment.)</w:t>
              </w:r>
            </w:hyperlink>
          </w:p>
        </w:tc>
        <w:tc>
          <w:tcPr>
            <w:tcW w:w="5660" w:type="dxa"/>
            <w:vAlign w:val="bottom"/>
            <w:tcBorders>
              <w:top w:val="single" w:sz="8" w:color="0000EE"/>
            </w:tcBorders>
            <w:gridSpan w:val="7"/>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10.80#</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Amendment #21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dated March 21, 2018. Incorporated by reference to Exhibit 10.1 to the Company’s Form 10-Q filed on May 9, 2018. (Portions omitted</w:t>
              </w:r>
            </w:hyperlink>
          </w:p>
        </w:tc>
      </w:tr>
      <w:tr>
        <w:trPr>
          <w:trHeight w:val="196"/>
        </w:trPr>
        <w:tc>
          <w:tcPr>
            <w:tcW w:w="13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pursuant to request for confidential treatment.)</w:t>
              </w:r>
            </w:hyperlink>
          </w:p>
        </w:tc>
        <w:tc>
          <w:tcPr>
            <w:tcW w:w="26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10.81</w:t>
            </w:r>
          </w:p>
        </w:tc>
        <w:tc>
          <w:tcPr>
            <w:tcW w:w="9880" w:type="dxa"/>
            <w:vAlign w:val="bottom"/>
            <w:tcBorders>
              <w:bottom w:val="single" w:sz="8" w:color="0000EE"/>
            </w:tcBorders>
            <w:gridSpan w:val="15"/>
          </w:tcPr>
          <w:p>
            <w:pPr>
              <w:spacing w:after="0"/>
              <w:rPr>
                <w:rFonts w:ascii="Arial" w:cs="Arial" w:eastAsia="Arial" w:hAnsi="Arial"/>
                <w:sz w:val="18"/>
                <w:szCs w:val="18"/>
                <w:color w:val="0000EE"/>
                <w:w w:val="90"/>
              </w:rPr>
            </w:pPr>
            <w:hyperlink r:id="rId195">
              <w:r>
                <w:rPr>
                  <w:rFonts w:ascii="Arial" w:cs="Arial" w:eastAsia="Arial" w:hAnsi="Arial"/>
                  <w:sz w:val="18"/>
                  <w:szCs w:val="18"/>
                  <w:color w:val="0000EE"/>
                  <w:w w:val="90"/>
                </w:rPr>
                <w:t>Amendment #22 to the Agreement between BioCryst Pharmaceuticals, Inc. and the National Institute of Allergy and Infectious Diseases,</w:t>
              </w:r>
            </w:hyperlink>
          </w:p>
        </w:tc>
        <w:tc>
          <w:tcPr>
            <w:tcW w:w="100" w:type="dxa"/>
            <w:vAlign w:val="bottom"/>
            <w:gridSpan w:val="3"/>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89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dated September 10, 2018. Incorporated by reference to Exhibit 10.3 to the Company’s Form 10-Q filed November 8, 2018.</w:t>
              </w:r>
            </w:hyperlink>
          </w:p>
        </w:tc>
        <w:tc>
          <w:tcPr>
            <w:tcW w:w="100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10.82#</w:t>
            </w:r>
          </w:p>
        </w:tc>
        <w:tc>
          <w:tcPr>
            <w:tcW w:w="9860" w:type="dxa"/>
            <w:vAlign w:val="bottom"/>
            <w:tcBorders>
              <w:bottom w:val="single" w:sz="8" w:color="0000EE"/>
            </w:tcBorders>
            <w:gridSpan w:val="14"/>
          </w:tcPr>
          <w:p>
            <w:pPr>
              <w:spacing w:after="0"/>
              <w:rPr>
                <w:rFonts w:ascii="Arial" w:cs="Arial" w:eastAsia="Arial" w:hAnsi="Arial"/>
                <w:sz w:val="18"/>
                <w:szCs w:val="18"/>
                <w:color w:val="0000EE"/>
                <w:w w:val="91"/>
              </w:rPr>
            </w:pPr>
            <w:hyperlink r:id="rId196">
              <w:r>
                <w:rPr>
                  <w:rFonts w:ascii="Arial" w:cs="Arial" w:eastAsia="Arial" w:hAnsi="Arial"/>
                  <w:sz w:val="18"/>
                  <w:szCs w:val="18"/>
                  <w:color w:val="0000EE"/>
                  <w:w w:val="91"/>
                </w:rPr>
                <w:t>Agreement between BioCryst Pharmaceuticals, Inc. and the Biomedical Advanced Research and Development Authority within the U.S.</w:t>
              </w:r>
            </w:hyperlink>
          </w:p>
        </w:tc>
        <w:tc>
          <w:tcPr>
            <w:tcW w:w="120" w:type="dxa"/>
            <w:vAlign w:val="bottom"/>
            <w:gridSpan w:val="4"/>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5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Department of Health and Human Services' Office of the Assistant Secretary for Preparedness and Response, dated March 27, 2015.</w:t>
              </w:r>
            </w:hyperlink>
          </w:p>
        </w:tc>
        <w:tc>
          <w:tcPr>
            <w:tcW w:w="440" w:type="dxa"/>
            <w:vAlign w:val="bottom"/>
            <w:gridSpan w:val="1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13"/>
          </w:tcPr>
          <w:p>
            <w:pPr>
              <w:ind w:left="60"/>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Incorporated by reference to Exhibit 10.2 to the Company’s Form 10-Q filed on May 8, 2015. (Portions omitted pursuant to request for</w:t>
              </w:r>
            </w:hyperlink>
          </w:p>
        </w:tc>
        <w:tc>
          <w:tcPr>
            <w:tcW w:w="16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7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confidential treatment.)</w:t>
              </w:r>
            </w:hyperlink>
          </w:p>
        </w:tc>
        <w:tc>
          <w:tcPr>
            <w:tcW w:w="8280" w:type="dxa"/>
            <w:vAlign w:val="bottom"/>
            <w:gridSpan w:val="1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10.83#</w:t>
            </w:r>
          </w:p>
        </w:tc>
        <w:tc>
          <w:tcPr>
            <w:tcW w:w="9980" w:type="dxa"/>
            <w:vAlign w:val="bottom"/>
            <w:gridSpan w:val="18"/>
          </w:tcPr>
          <w:p>
            <w:pPr>
              <w:spacing w:after="0"/>
              <w:rPr>
                <w:rFonts w:ascii="Arial" w:cs="Arial" w:eastAsia="Arial" w:hAnsi="Arial"/>
                <w:sz w:val="18"/>
                <w:szCs w:val="18"/>
                <w:color w:val="0000EE"/>
                <w:w w:val="94"/>
              </w:rPr>
            </w:pPr>
            <w:hyperlink r:id="rId197">
              <w:r>
                <w:rPr>
                  <w:rFonts w:ascii="Arial" w:cs="Arial" w:eastAsia="Arial" w:hAnsi="Arial"/>
                  <w:sz w:val="18"/>
                  <w:szCs w:val="18"/>
                  <w:color w:val="0000EE"/>
                  <w:w w:val="94"/>
                </w:rPr>
                <w:t>Amendment #1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958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7">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dated June 2, 2015. Incorporated by reference to Exhibit 10.1 to the Company’s Form 10-Q filed on August 7, 2015. (Portions omitted</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10.84#</w:t>
            </w:r>
          </w:p>
        </w:tc>
        <w:tc>
          <w:tcPr>
            <w:tcW w:w="9980" w:type="dxa"/>
            <w:vAlign w:val="bottom"/>
            <w:gridSpan w:val="18"/>
          </w:tcPr>
          <w:p>
            <w:pPr>
              <w:spacing w:after="0"/>
              <w:rPr>
                <w:rFonts w:ascii="Arial" w:cs="Arial" w:eastAsia="Arial" w:hAnsi="Arial"/>
                <w:sz w:val="18"/>
                <w:szCs w:val="18"/>
                <w:color w:val="0000EE"/>
                <w:w w:val="94"/>
              </w:rPr>
            </w:pPr>
            <w:hyperlink r:id="rId198">
              <w:r>
                <w:rPr>
                  <w:rFonts w:ascii="Arial" w:cs="Arial" w:eastAsia="Arial" w:hAnsi="Arial"/>
                  <w:sz w:val="18"/>
                  <w:szCs w:val="18"/>
                  <w:color w:val="0000EE"/>
                  <w:w w:val="94"/>
                </w:rPr>
                <w:t>Amendment #2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9580" w:type="dxa"/>
            <w:vAlign w:val="bottom"/>
            <w:gridSpan w:val="8"/>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8">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0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98">
              <w:r>
                <w:rPr>
                  <w:rFonts w:ascii="Arial" w:cs="Arial" w:eastAsia="Arial" w:hAnsi="Arial"/>
                  <w:sz w:val="18"/>
                  <w:szCs w:val="18"/>
                  <w:color w:val="0000EE"/>
                  <w:w w:val="92"/>
                </w:rPr>
                <w:t>dated July 8, 2015. Incorporated by reference to Exhibit 10.1 to the Company’s Form 10-Q filed on November 6, 2015. (Portions omitted</w:t>
              </w:r>
            </w:hyperlink>
          </w:p>
        </w:tc>
      </w:tr>
      <w:tr>
        <w:trPr>
          <w:trHeight w:val="196"/>
        </w:trPr>
        <w:tc>
          <w:tcPr>
            <w:tcW w:w="138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EE"/>
              </w:rPr>
            </w:pPr>
            <w:hyperlink r:id="rId198">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6620" w:type="dxa"/>
            <w:vAlign w:val="bottom"/>
            <w:gridSpan w:val="16"/>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10.85#</w:t>
            </w:r>
          </w:p>
        </w:tc>
        <w:tc>
          <w:tcPr>
            <w:tcW w:w="9980" w:type="dxa"/>
            <w:vAlign w:val="bottom"/>
            <w:gridSpan w:val="18"/>
          </w:tcPr>
          <w:p>
            <w:pPr>
              <w:spacing w:after="0"/>
              <w:rPr>
                <w:rFonts w:ascii="Arial" w:cs="Arial" w:eastAsia="Arial" w:hAnsi="Arial"/>
                <w:sz w:val="18"/>
                <w:szCs w:val="18"/>
                <w:color w:val="0000EE"/>
                <w:w w:val="94"/>
              </w:rPr>
            </w:pPr>
            <w:hyperlink r:id="rId199">
              <w:r>
                <w:rPr>
                  <w:rFonts w:ascii="Arial" w:cs="Arial" w:eastAsia="Arial" w:hAnsi="Arial"/>
                  <w:sz w:val="18"/>
                  <w:szCs w:val="18"/>
                  <w:color w:val="0000EE"/>
                  <w:w w:val="94"/>
                </w:rPr>
                <w:t>Amendment #3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9580" w:type="dxa"/>
            <w:vAlign w:val="bottom"/>
            <w:gridSpan w:val="8"/>
            <w:shd w:val="clear" w:color="auto" w:fill="0000EE"/>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99">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00" w:type="dxa"/>
            <w:vAlign w:val="bottom"/>
            <w:gridSpan w:val="6"/>
          </w:tcPr>
          <w:p>
            <w:pPr>
              <w:spacing w:after="0"/>
              <w:rPr>
                <w:sz w:val="17"/>
                <w:szCs w:val="17"/>
                <w:color w:val="auto"/>
              </w:rPr>
            </w:pPr>
          </w:p>
        </w:tc>
      </w:tr>
    </w:tbl>
    <w:p>
      <w:pPr>
        <w:spacing w:after="0" w:line="13" w:lineRule="exact"/>
        <w:rPr>
          <w:sz w:val="20"/>
          <w:szCs w:val="20"/>
          <w:color w:val="auto"/>
        </w:rPr>
      </w:pPr>
    </w:p>
    <w:p>
      <w:pPr>
        <w:ind w:left="1380" w:right="280"/>
        <w:spacing w:after="0" w:line="277"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dated August 25, 2015. Incorporated by reference to Exhibit 10.2 to the Company’s Form 10-Q filed on November 6, 2015. (Portions</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omitted pursuant to request for confidential treatment.)</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Arial" w:cs="Arial" w:eastAsia="Arial" w:hAnsi="Arial"/>
                <w:sz w:val="18"/>
                <w:szCs w:val="18"/>
                <w:color w:val="auto"/>
              </w:rPr>
              <w:t>10.86#</w:t>
            </w:r>
          </w:p>
        </w:tc>
        <w:tc>
          <w:tcPr>
            <w:tcW w:w="10000" w:type="dxa"/>
            <w:vAlign w:val="bottom"/>
            <w:gridSpan w:val="18"/>
          </w:tcPr>
          <w:p>
            <w:pPr>
              <w:spacing w:after="0"/>
              <w:rPr>
                <w:rFonts w:ascii="Arial" w:cs="Arial" w:eastAsia="Arial" w:hAnsi="Arial"/>
                <w:sz w:val="18"/>
                <w:szCs w:val="18"/>
                <w:color w:val="0000EE"/>
                <w:w w:val="94"/>
              </w:rPr>
            </w:pPr>
            <w:hyperlink r:id="rId201">
              <w:r>
                <w:rPr>
                  <w:rFonts w:ascii="Arial" w:cs="Arial" w:eastAsia="Arial" w:hAnsi="Arial"/>
                  <w:sz w:val="18"/>
                  <w:szCs w:val="18"/>
                  <w:color w:val="0000EE"/>
                  <w:w w:val="94"/>
                </w:rPr>
                <w:t>Amendment #4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9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1">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w w:val="92"/>
              </w:rPr>
            </w:pPr>
            <w:hyperlink r:id="rId201">
              <w:r>
                <w:rPr>
                  <w:rFonts w:ascii="Arial" w:cs="Arial" w:eastAsia="Arial" w:hAnsi="Arial"/>
                  <w:sz w:val="18"/>
                  <w:szCs w:val="18"/>
                  <w:color w:val="0000EE"/>
                  <w:w w:val="92"/>
                </w:rPr>
                <w:t>dated February 25, 2016. Incorporated by reference to Exhibit 10.1 to the Company’s Form 10-Q filed on May 9, 2016. (Portions omitted</w:t>
              </w:r>
            </w:hyperlink>
          </w:p>
        </w:tc>
      </w:tr>
      <w:tr>
        <w:trPr>
          <w:trHeight w:val="196"/>
        </w:trPr>
        <w:tc>
          <w:tcPr>
            <w:tcW w:w="1380" w:type="dxa"/>
            <w:vAlign w:val="bottom"/>
          </w:tcPr>
          <w:p>
            <w:pPr>
              <w:spacing w:after="0"/>
              <w:rPr>
                <w:sz w:val="17"/>
                <w:szCs w:val="17"/>
                <w:color w:val="auto"/>
              </w:rPr>
            </w:pPr>
          </w:p>
        </w:tc>
        <w:tc>
          <w:tcPr>
            <w:tcW w:w="99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pursuant to request for confidential treatment.)</w:t>
              </w:r>
            </w:hyperlink>
          </w:p>
        </w:tc>
        <w:tc>
          <w:tcPr>
            <w:tcW w:w="1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10.87#</w:t>
            </w:r>
          </w:p>
        </w:tc>
        <w:tc>
          <w:tcPr>
            <w:tcW w:w="10000" w:type="dxa"/>
            <w:vAlign w:val="bottom"/>
            <w:gridSpan w:val="18"/>
          </w:tcPr>
          <w:p>
            <w:pPr>
              <w:spacing w:after="0"/>
              <w:rPr>
                <w:rFonts w:ascii="Arial" w:cs="Arial" w:eastAsia="Arial" w:hAnsi="Arial"/>
                <w:sz w:val="18"/>
                <w:szCs w:val="18"/>
                <w:color w:val="0000EE"/>
                <w:w w:val="94"/>
              </w:rPr>
            </w:pPr>
            <w:hyperlink r:id="rId202">
              <w:r>
                <w:rPr>
                  <w:rFonts w:ascii="Arial" w:cs="Arial" w:eastAsia="Arial" w:hAnsi="Arial"/>
                  <w:sz w:val="18"/>
                  <w:szCs w:val="18"/>
                  <w:color w:val="0000EE"/>
                  <w:w w:val="94"/>
                </w:rPr>
                <w:t>Amendment #5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9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2">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02">
              <w:r>
                <w:rPr>
                  <w:rFonts w:ascii="Arial" w:cs="Arial" w:eastAsia="Arial" w:hAnsi="Arial"/>
                  <w:sz w:val="18"/>
                  <w:szCs w:val="18"/>
                  <w:color w:val="0000EE"/>
                  <w:w w:val="91"/>
                </w:rPr>
                <w:t>dated April 11, 2016. Incorporated by reference to Exhibit 10.1 to the Company’s Form 10-Q filed on August 8, 2016. (Portions omitted</w:t>
              </w:r>
            </w:hyperlink>
          </w:p>
        </w:tc>
        <w:tc>
          <w:tcPr>
            <w:tcW w:w="1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10.88#</w:t>
            </w:r>
          </w:p>
        </w:tc>
        <w:tc>
          <w:tcPr>
            <w:tcW w:w="10000" w:type="dxa"/>
            <w:vAlign w:val="bottom"/>
            <w:gridSpan w:val="18"/>
          </w:tcPr>
          <w:p>
            <w:pPr>
              <w:spacing w:after="0"/>
              <w:rPr>
                <w:rFonts w:ascii="Arial" w:cs="Arial" w:eastAsia="Arial" w:hAnsi="Arial"/>
                <w:sz w:val="18"/>
                <w:szCs w:val="18"/>
                <w:color w:val="0000EE"/>
                <w:w w:val="94"/>
              </w:rPr>
            </w:pPr>
            <w:hyperlink r:id="rId203">
              <w:r>
                <w:rPr>
                  <w:rFonts w:ascii="Arial" w:cs="Arial" w:eastAsia="Arial" w:hAnsi="Arial"/>
                  <w:sz w:val="18"/>
                  <w:szCs w:val="18"/>
                  <w:color w:val="0000EE"/>
                  <w:w w:val="94"/>
                </w:rPr>
                <w:t>Amendment #6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9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3">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03">
              <w:r>
                <w:rPr>
                  <w:rFonts w:ascii="Arial" w:cs="Arial" w:eastAsia="Arial" w:hAnsi="Arial"/>
                  <w:sz w:val="18"/>
                  <w:szCs w:val="18"/>
                  <w:color w:val="0000EE"/>
                  <w:w w:val="91"/>
                </w:rPr>
                <w:t>dated May 20, 2016. Incorporated by reference to Exhibit 10.2 to the Company’s Form 10-Q filed on August 8, 2016. (Portions omitted</w:t>
              </w:r>
            </w:hyperlink>
          </w:p>
        </w:tc>
        <w:tc>
          <w:tcPr>
            <w:tcW w:w="22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pursuant to request for confidential treatment.)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10.89#</w:t>
            </w:r>
          </w:p>
        </w:tc>
        <w:tc>
          <w:tcPr>
            <w:tcW w:w="10000" w:type="dxa"/>
            <w:vAlign w:val="bottom"/>
            <w:gridSpan w:val="18"/>
          </w:tcPr>
          <w:p>
            <w:pPr>
              <w:spacing w:after="0"/>
              <w:rPr>
                <w:rFonts w:ascii="Arial" w:cs="Arial" w:eastAsia="Arial" w:hAnsi="Arial"/>
                <w:sz w:val="18"/>
                <w:szCs w:val="18"/>
                <w:color w:val="0000EE"/>
                <w:w w:val="94"/>
              </w:rPr>
            </w:pPr>
            <w:hyperlink r:id="rId204">
              <w:r>
                <w:rPr>
                  <w:rFonts w:ascii="Arial" w:cs="Arial" w:eastAsia="Arial" w:hAnsi="Arial"/>
                  <w:sz w:val="18"/>
                  <w:szCs w:val="18"/>
                  <w:color w:val="0000EE"/>
                  <w:w w:val="94"/>
                </w:rPr>
                <w:t>Amendment #7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9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dated September 26, 2016. Incorporated by reference to Exhibit 10.2 to the Company’s Form 10-Q filed on November 8, 2016. (Portions</w:t>
              </w:r>
            </w:hyperlink>
          </w:p>
        </w:tc>
        <w:tc>
          <w:tcPr>
            <w:tcW w:w="14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omitted pursuant to request for confidential treatment.)</w:t>
              </w:r>
            </w:hyperlink>
          </w:p>
        </w:tc>
        <w:tc>
          <w:tcPr>
            <w:tcW w:w="604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10.90</w:t>
            </w:r>
          </w:p>
        </w:tc>
        <w:tc>
          <w:tcPr>
            <w:tcW w:w="10000" w:type="dxa"/>
            <w:vAlign w:val="bottom"/>
            <w:gridSpan w:val="18"/>
          </w:tcPr>
          <w:p>
            <w:pPr>
              <w:spacing w:after="0"/>
              <w:rPr>
                <w:rFonts w:ascii="Arial" w:cs="Arial" w:eastAsia="Arial" w:hAnsi="Arial"/>
                <w:sz w:val="18"/>
                <w:szCs w:val="18"/>
                <w:color w:val="0000EE"/>
                <w:w w:val="94"/>
              </w:rPr>
            </w:pPr>
            <w:hyperlink r:id="rId205">
              <w:r>
                <w:rPr>
                  <w:rFonts w:ascii="Arial" w:cs="Arial" w:eastAsia="Arial" w:hAnsi="Arial"/>
                  <w:sz w:val="18"/>
                  <w:szCs w:val="18"/>
                  <w:color w:val="0000EE"/>
                  <w:w w:val="94"/>
                </w:rPr>
                <w:t>Amendment #8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1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1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dated September 20, 2017. Incorporated by reference to Exhibit 10.1 to the Company’s Form 10-Q filed on November 8, 2017.</w:t>
              </w:r>
            </w:hyperlink>
          </w:p>
        </w:tc>
        <w:tc>
          <w:tcPr>
            <w:tcW w:w="840" w:type="dxa"/>
            <w:vAlign w:val="bottom"/>
            <w:gridSpan w:val="13"/>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10.91#</w:t>
            </w:r>
          </w:p>
        </w:tc>
        <w:tc>
          <w:tcPr>
            <w:tcW w:w="10000" w:type="dxa"/>
            <w:vAlign w:val="bottom"/>
            <w:gridSpan w:val="18"/>
          </w:tcPr>
          <w:p>
            <w:pPr>
              <w:spacing w:after="0"/>
              <w:rPr>
                <w:rFonts w:ascii="Arial" w:cs="Arial" w:eastAsia="Arial" w:hAnsi="Arial"/>
                <w:sz w:val="18"/>
                <w:szCs w:val="18"/>
                <w:color w:val="0000EE"/>
                <w:w w:val="94"/>
              </w:rPr>
            </w:pPr>
            <w:hyperlink r:id="rId206">
              <w:r>
                <w:rPr>
                  <w:rFonts w:ascii="Arial" w:cs="Arial" w:eastAsia="Arial" w:hAnsi="Arial"/>
                  <w:sz w:val="18"/>
                  <w:szCs w:val="18"/>
                  <w:color w:val="0000EE"/>
                  <w:w w:val="94"/>
                </w:rPr>
                <w:t>Amendment #9 to the Agreement between BioCryst Pharmaceuticals, Inc. and the Biomedical Advanced Research and Development</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1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6">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dated December 1, 2017. Incorporated by reference to Exhibit 10.88 to the Company’s Form 10-K filed on March 12, 2018.</w:t>
              </w:r>
            </w:hyperlink>
          </w:p>
        </w:tc>
      </w:tr>
      <w:tr>
        <w:trPr>
          <w:trHeight w:val="20"/>
        </w:trPr>
        <w:tc>
          <w:tcPr>
            <w:tcW w:w="138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1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10.92</w:t>
            </w:r>
          </w:p>
        </w:tc>
        <w:tc>
          <w:tcPr>
            <w:tcW w:w="9700" w:type="dxa"/>
            <w:vAlign w:val="bottom"/>
            <w:tcBorders>
              <w:bottom w:val="single" w:sz="8" w:color="0000EE"/>
            </w:tcBorders>
            <w:gridSpan w:val="11"/>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Amendment #10 to the Agreement between BioCryst Pharmaceuticals, Inc. and the Biomedical Advanced Research and Development</w:t>
              </w:r>
            </w:hyperlink>
          </w:p>
        </w:tc>
        <w:tc>
          <w:tcPr>
            <w:tcW w:w="300" w:type="dxa"/>
            <w:vAlign w:val="bottom"/>
            <w:gridSpan w:val="7"/>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7">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8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dated March 19, 2018. Incorporated by reference to Exhibit 10.1 to the Company’s Form 10-Q filed on November 8, 2018.</w:t>
              </w:r>
            </w:hyperlink>
          </w:p>
        </w:tc>
        <w:tc>
          <w:tcPr>
            <w:tcW w:w="1080" w:type="dxa"/>
            <w:vAlign w:val="bottom"/>
            <w:gridSpan w:val="14"/>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10.93</w:t>
            </w:r>
          </w:p>
        </w:tc>
        <w:tc>
          <w:tcPr>
            <w:tcW w:w="9680" w:type="dxa"/>
            <w:vAlign w:val="bottom"/>
            <w:tcBorders>
              <w:bottom w:val="single" w:sz="8" w:color="0000EE"/>
            </w:tcBorders>
            <w:gridSpan w:val="10"/>
          </w:tcPr>
          <w:p>
            <w:pPr>
              <w:spacing w:after="0"/>
              <w:rPr>
                <w:rFonts w:ascii="Arial" w:cs="Arial" w:eastAsia="Arial" w:hAnsi="Arial"/>
                <w:sz w:val="18"/>
                <w:szCs w:val="18"/>
                <w:color w:val="0000EE"/>
                <w:w w:val="90"/>
              </w:rPr>
            </w:pPr>
            <w:hyperlink r:id="rId208">
              <w:r>
                <w:rPr>
                  <w:rFonts w:ascii="Arial" w:cs="Arial" w:eastAsia="Arial" w:hAnsi="Arial"/>
                  <w:sz w:val="18"/>
                  <w:szCs w:val="18"/>
                  <w:color w:val="0000EE"/>
                  <w:w w:val="90"/>
                </w:rPr>
                <w:t>Amendment #11 to the Agreement between BioCryst Pharmaceuticals, Inc. and the Biomedical Advanced Research and Development</w:t>
              </w:r>
            </w:hyperlink>
          </w:p>
        </w:tc>
        <w:tc>
          <w:tcPr>
            <w:tcW w:w="320" w:type="dxa"/>
            <w:vAlign w:val="bottom"/>
            <w:gridSpan w:val="8"/>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Authority within the U.S. Department of Health and Human Services’ Office of the Assistant Secretary for Preparedness and Response,</w:t>
              </w:r>
            </w:hyperlink>
          </w:p>
        </w:tc>
        <w:tc>
          <w:tcPr>
            <w:tcW w:w="2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8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dated September 20, 2018. Incorporated by reference to Exhibit 10.2 to the Company’s Form 10-Q filed on November 8, 2018. (Portions</w:t>
              </w:r>
            </w:hyperlink>
          </w:p>
        </w:tc>
        <w:tc>
          <w:tcPr>
            <w:tcW w:w="14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omitted pursuant to request for confidential treatment.)</w:t>
              </w:r>
            </w:hyperlink>
          </w:p>
        </w:tc>
        <w:tc>
          <w:tcPr>
            <w:tcW w:w="6040" w:type="dxa"/>
            <w:vAlign w:val="bottom"/>
            <w:gridSpan w:val="15"/>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10.94#</w:t>
            </w:r>
          </w:p>
        </w:tc>
        <w:tc>
          <w:tcPr>
            <w:tcW w:w="9880" w:type="dxa"/>
            <w:vAlign w:val="bottom"/>
            <w:tcBorders>
              <w:bottom w:val="single" w:sz="8" w:color="0000EE"/>
            </w:tcBorders>
            <w:gridSpan w:val="16"/>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License Agreement by and between BioCryst Pharmaceuticals, Inc. and Seqirus UK Limited, dated as of June 16, 2015. Incorporated by</w:t>
              </w:r>
            </w:hyperlink>
          </w:p>
        </w:tc>
        <w:tc>
          <w:tcPr>
            <w:tcW w:w="12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w w:val="97"/>
              </w:rPr>
            </w:pPr>
            <w:hyperlink r:id="rId209">
              <w:r>
                <w:rPr>
                  <w:rFonts w:ascii="Arial" w:cs="Arial" w:eastAsia="Arial" w:hAnsi="Arial"/>
                  <w:sz w:val="18"/>
                  <w:szCs w:val="18"/>
                  <w:color w:val="0000EE"/>
                  <w:w w:val="97"/>
                </w:rPr>
                <w:t>reference to Exhibit 10.8 to the Company’s Form 10-Q filed on May 8, 2015. (Portions omitted pursuant to request for confidential</w:t>
              </w:r>
            </w:hyperlink>
          </w:p>
        </w:tc>
      </w:tr>
      <w:tr>
        <w:trPr>
          <w:trHeight w:val="196"/>
        </w:trPr>
        <w:tc>
          <w:tcPr>
            <w:tcW w:w="138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treatment.)</w:t>
              </w:r>
            </w:hyperlink>
          </w:p>
        </w:tc>
        <w:tc>
          <w:tcPr>
            <w:tcW w:w="8680" w:type="dxa"/>
            <w:vAlign w:val="bottom"/>
            <w:tcBorders>
              <w:top w:val="single" w:sz="8" w:color="0000EE"/>
            </w:tcBorders>
            <w:gridSpan w:val="6"/>
          </w:tcPr>
          <w:p>
            <w:pPr>
              <w:spacing w:after="0"/>
              <w:rPr>
                <w:sz w:val="17"/>
                <w:szCs w:val="17"/>
                <w:color w:val="auto"/>
              </w:rPr>
            </w:pPr>
          </w:p>
        </w:tc>
        <w:tc>
          <w:tcPr>
            <w:tcW w:w="520" w:type="dxa"/>
            <w:vAlign w:val="bottom"/>
            <w:gridSpan w:val="11"/>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10.95#</w:t>
            </w:r>
          </w:p>
        </w:tc>
        <w:tc>
          <w:tcPr>
            <w:tcW w:w="10000" w:type="dxa"/>
            <w:vAlign w:val="bottom"/>
            <w:gridSpan w:val="18"/>
          </w:tcPr>
          <w:p>
            <w:pPr>
              <w:spacing w:after="0"/>
              <w:rPr>
                <w:rFonts w:ascii="Arial" w:cs="Arial" w:eastAsia="Arial" w:hAnsi="Arial"/>
                <w:sz w:val="18"/>
                <w:szCs w:val="18"/>
                <w:color w:val="0000EE"/>
                <w:w w:val="94"/>
              </w:rPr>
            </w:pPr>
            <w:hyperlink r:id="rId210">
              <w:r>
                <w:rPr>
                  <w:rFonts w:ascii="Arial" w:cs="Arial" w:eastAsia="Arial" w:hAnsi="Arial"/>
                  <w:sz w:val="18"/>
                  <w:szCs w:val="18"/>
                  <w:color w:val="0000EE"/>
                  <w:w w:val="94"/>
                </w:rPr>
                <w:t>Credit and Security Agreement, dated as of September 23, 2016, by and among Midcap Financial Trust, as administrative agent, the</w:t>
              </w:r>
            </w:hyperlink>
          </w:p>
        </w:tc>
      </w:tr>
      <w:tr>
        <w:trPr>
          <w:trHeight w:val="20"/>
        </w:trPr>
        <w:tc>
          <w:tcPr>
            <w:tcW w:w="1380" w:type="dxa"/>
            <w:vAlign w:val="bottom"/>
          </w:tcPr>
          <w:p>
            <w:pPr>
              <w:spacing w:after="0" w:line="20" w:lineRule="exact"/>
              <w:rPr>
                <w:sz w:val="1"/>
                <w:szCs w:val="1"/>
                <w:color w:val="auto"/>
              </w:rPr>
            </w:pPr>
          </w:p>
        </w:tc>
        <w:tc>
          <w:tcPr>
            <w:tcW w:w="93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0000" w:type="dxa"/>
            <w:vAlign w:val="bottom"/>
            <w:gridSpan w:val="18"/>
          </w:tcPr>
          <w:p>
            <w:pPr>
              <w:spacing w:after="0" w:line="196" w:lineRule="exact"/>
              <w:rPr>
                <w:rFonts w:ascii="Arial" w:cs="Arial" w:eastAsia="Arial" w:hAnsi="Arial"/>
                <w:sz w:val="18"/>
                <w:szCs w:val="18"/>
                <w:color w:val="0000EE"/>
                <w:w w:val="92"/>
              </w:rPr>
            </w:pPr>
            <w:hyperlink r:id="rId210">
              <w:r>
                <w:rPr>
                  <w:rFonts w:ascii="Arial" w:cs="Arial" w:eastAsia="Arial" w:hAnsi="Arial"/>
                  <w:sz w:val="18"/>
                  <w:szCs w:val="18"/>
                  <w:color w:val="0000EE"/>
                  <w:w w:val="92"/>
                </w:rPr>
                <w:t>Lenders listed on the Credit Facility Schedule attached thereto and otherwise party thereto from time to time, BioCryst Pharmaceuticals,</w:t>
              </w:r>
            </w:hyperlink>
          </w:p>
        </w:tc>
      </w:tr>
      <w:tr>
        <w:trPr>
          <w:trHeight w:val="196"/>
        </w:trPr>
        <w:tc>
          <w:tcPr>
            <w:tcW w:w="138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r:id="rId210">
              <w:r>
                <w:rPr>
                  <w:rFonts w:ascii="Arial" w:cs="Arial" w:eastAsia="Arial" w:hAnsi="Arial"/>
                  <w:sz w:val="18"/>
                  <w:szCs w:val="18"/>
                  <w:color w:val="0000EE"/>
                  <w:w w:val="94"/>
                </w:rPr>
                <w:t>Inc., and MDCP, LLC. Incorporated by reference to Exhibit 10.3 to the Company’s Form 10-Q filed on November 8, 2016. (Portions</w:t>
              </w:r>
            </w:hyperlink>
          </w:p>
        </w:tc>
        <w:tc>
          <w:tcPr>
            <w:tcW w:w="18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210">
              <w:r>
                <w:rPr>
                  <w:rFonts w:ascii="Arial" w:cs="Arial" w:eastAsia="Arial" w:hAnsi="Arial"/>
                  <w:sz w:val="18"/>
                  <w:szCs w:val="18"/>
                  <w:color w:val="0000EE"/>
                  <w:w w:val="90"/>
                </w:rPr>
                <w:t>omitted pursuant to request for confidential treatment.)</w:t>
              </w:r>
            </w:hyperlink>
          </w:p>
        </w:tc>
        <w:tc>
          <w:tcPr>
            <w:tcW w:w="5620" w:type="dxa"/>
            <w:vAlign w:val="bottom"/>
            <w:tcBorders>
              <w:top w:val="single" w:sz="8" w:color="0000EE"/>
            </w:tcBorders>
            <w:gridSpan w:val="6"/>
          </w:tcPr>
          <w:p>
            <w:pPr>
              <w:spacing w:after="0"/>
              <w:rPr>
                <w:sz w:val="17"/>
                <w:szCs w:val="17"/>
                <w:color w:val="auto"/>
              </w:rPr>
            </w:pPr>
          </w:p>
        </w:tc>
        <w:tc>
          <w:tcPr>
            <w:tcW w:w="420" w:type="dxa"/>
            <w:vAlign w:val="bottom"/>
            <w:gridSpan w:val="9"/>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Arial" w:cs="Arial" w:eastAsia="Arial" w:hAnsi="Arial"/>
                <w:sz w:val="18"/>
                <w:szCs w:val="18"/>
                <w:color w:val="auto"/>
              </w:rPr>
              <w:t>10.96#</w:t>
            </w:r>
          </w:p>
        </w:tc>
        <w:tc>
          <w:tcPr>
            <w:tcW w:w="10000" w:type="dxa"/>
            <w:vAlign w:val="bottom"/>
            <w:tcBorders>
              <w:bottom w:val="single" w:sz="8" w:color="0000EE"/>
            </w:tcBorders>
            <w:gridSpan w:val="18"/>
          </w:tcPr>
          <w:p>
            <w:pPr>
              <w:spacing w:after="0"/>
              <w:rPr>
                <w:rFonts w:ascii="Arial" w:cs="Arial" w:eastAsia="Arial" w:hAnsi="Arial"/>
                <w:sz w:val="18"/>
                <w:szCs w:val="18"/>
                <w:color w:val="0000EE"/>
                <w:w w:val="90"/>
              </w:rPr>
            </w:pPr>
            <w:hyperlink r:id="rId211">
              <w:r>
                <w:rPr>
                  <w:rFonts w:ascii="Arial" w:cs="Arial" w:eastAsia="Arial" w:hAnsi="Arial"/>
                  <w:sz w:val="18"/>
                  <w:szCs w:val="18"/>
                  <w:color w:val="0000EE"/>
                  <w:w w:val="90"/>
                </w:rPr>
                <w:t>Amended and Restated Credit and Security Agreement, dated as of July 10, 2018, by and among Midcap Financial Trust, as administrative</w:t>
              </w:r>
            </w:hyperlink>
          </w:p>
        </w:tc>
      </w:tr>
      <w:tr>
        <w:trPr>
          <w:trHeight w:val="196"/>
        </w:trPr>
        <w:tc>
          <w:tcPr>
            <w:tcW w:w="1380" w:type="dxa"/>
            <w:vAlign w:val="bottom"/>
          </w:tcPr>
          <w:p>
            <w:pPr>
              <w:spacing w:after="0"/>
              <w:rPr>
                <w:sz w:val="17"/>
                <w:szCs w:val="17"/>
                <w:color w:val="auto"/>
              </w:rPr>
            </w:pPr>
          </w:p>
        </w:tc>
        <w:tc>
          <w:tcPr>
            <w:tcW w:w="93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211">
              <w:r>
                <w:rPr>
                  <w:rFonts w:ascii="Arial" w:cs="Arial" w:eastAsia="Arial" w:hAnsi="Arial"/>
                  <w:sz w:val="18"/>
                  <w:szCs w:val="18"/>
                  <w:color w:val="0000EE"/>
                  <w:w w:val="90"/>
                </w:rPr>
                <w:t>agent, the Lenders listed on the Credit Facility Schedule attached thereto and otherwise party thereto from time to time, BioCryst</w:t>
              </w:r>
            </w:hyperlink>
          </w:p>
        </w:tc>
        <w:tc>
          <w:tcPr>
            <w:tcW w:w="700" w:type="dxa"/>
            <w:vAlign w:val="bottom"/>
            <w:gridSpan w:val="12"/>
          </w:tcPr>
          <w:p>
            <w:pPr>
              <w:spacing w:after="0"/>
              <w:rPr>
                <w:sz w:val="17"/>
                <w:szCs w:val="17"/>
                <w:color w:val="auto"/>
              </w:rPr>
            </w:pPr>
          </w:p>
        </w:tc>
      </w:tr>
    </w:tbl>
    <w:p>
      <w:pPr>
        <w:spacing w:after="0" w:line="13" w:lineRule="exact"/>
        <w:rPr>
          <w:sz w:val="20"/>
          <w:szCs w:val="20"/>
          <w:color w:val="auto"/>
        </w:rPr>
      </w:pPr>
    </w:p>
    <w:p>
      <w:pPr>
        <w:ind w:left="1380" w:right="320"/>
        <w:spacing w:after="0" w:line="277" w:lineRule="auto"/>
        <w:rPr>
          <w:rFonts w:ascii="Arial" w:cs="Arial" w:eastAsia="Arial" w:hAnsi="Arial"/>
          <w:sz w:val="18"/>
          <w:szCs w:val="18"/>
          <w:u w:val="single" w:color="auto"/>
          <w:color w:val="0000EE"/>
        </w:rPr>
      </w:pPr>
      <w:hyperlink r:id="rId211">
        <w:r>
          <w:rPr>
            <w:rFonts w:ascii="Arial" w:cs="Arial" w:eastAsia="Arial" w:hAnsi="Arial"/>
            <w:sz w:val="18"/>
            <w:szCs w:val="18"/>
            <w:u w:val="single" w:color="auto"/>
            <w:color w:val="0000EE"/>
          </w:rPr>
          <w:t>Pharmaceuticals, Inc., and MDCP, LLC. Incorporated by reference to Exhibit 10.5 to the Company’s Form 10-Q filed on November 8,</w:t>
        </w:r>
      </w:hyperlink>
      <w:r>
        <w:rPr>
          <w:rFonts w:ascii="Arial" w:cs="Arial" w:eastAsia="Arial" w:hAnsi="Arial"/>
          <w:sz w:val="18"/>
          <w:szCs w:val="18"/>
          <w:u w:val="single" w:color="auto"/>
          <w:color w:val="0000EE"/>
        </w:rPr>
        <w:t xml:space="preserve"> </w:t>
      </w:r>
      <w:hyperlink r:id="rId211">
        <w:r>
          <w:rPr>
            <w:rFonts w:ascii="Arial" w:cs="Arial" w:eastAsia="Arial" w:hAnsi="Arial"/>
            <w:sz w:val="18"/>
            <w:szCs w:val="18"/>
            <w:u w:val="single" w:color="auto"/>
            <w:color w:val="0000EE"/>
          </w:rPr>
          <w:t>2018. (Portions omitted pursuant to request for confidential treatment.)</w:t>
        </w:r>
      </w:hyperlink>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70"/>
              <w:spacing w:after="0"/>
              <w:rPr>
                <w:sz w:val="20"/>
                <w:szCs w:val="20"/>
                <w:color w:val="auto"/>
              </w:rPr>
            </w:pPr>
            <w:r>
              <w:rPr>
                <w:rFonts w:ascii="Arial" w:cs="Arial" w:eastAsia="Arial" w:hAnsi="Arial"/>
                <w:sz w:val="18"/>
                <w:szCs w:val="18"/>
                <w:color w:val="auto"/>
                <w:w w:val="88"/>
              </w:rPr>
              <w:t>10.97</w:t>
            </w:r>
          </w:p>
        </w:tc>
        <w:tc>
          <w:tcPr>
            <w:tcW w:w="9940" w:type="dxa"/>
            <w:vAlign w:val="bottom"/>
            <w:tcBorders>
              <w:bottom w:val="single" w:sz="8" w:color="0000EE"/>
            </w:tcBorders>
            <w:gridSpan w:val="6"/>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Registration Rights Agreement, dated March 15, 2017, by and between BioCryst Pharmaceuticals, Inc. 667, L.P., and Baker Brothers Life</w:t>
              </w:r>
            </w:hyperlink>
          </w:p>
        </w:tc>
      </w:tr>
      <w:tr>
        <w:trPr>
          <w:trHeight w:val="196"/>
        </w:trPr>
        <w:tc>
          <w:tcPr>
            <w:tcW w:w="1380" w:type="dxa"/>
            <w:vAlign w:val="bottom"/>
          </w:tcPr>
          <w:p>
            <w:pPr>
              <w:spacing w:after="0"/>
              <w:rPr>
                <w:sz w:val="17"/>
                <w:szCs w:val="17"/>
                <w:color w:val="auto"/>
              </w:rPr>
            </w:pPr>
          </w:p>
        </w:tc>
        <w:tc>
          <w:tcPr>
            <w:tcW w:w="77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Sciences, L.P. Incorporated by reference to Exhibit 10.1 to the Company’s Form 8-K filed March 17, 2017.</w:t>
              </w:r>
            </w:hyperlink>
          </w:p>
        </w:tc>
        <w:tc>
          <w:tcPr>
            <w:tcW w:w="2220" w:type="dxa"/>
            <w:vAlign w:val="bottom"/>
            <w:gridSpan w:val="4"/>
          </w:tcPr>
          <w:p>
            <w:pPr>
              <w:spacing w:after="0"/>
              <w:rPr>
                <w:sz w:val="17"/>
                <w:szCs w:val="17"/>
                <w:color w:val="auto"/>
              </w:rPr>
            </w:pPr>
          </w:p>
        </w:tc>
      </w:tr>
      <w:tr>
        <w:trPr>
          <w:trHeight w:val="412"/>
        </w:trPr>
        <w:tc>
          <w:tcPr>
            <w:tcW w:w="1380" w:type="dxa"/>
            <w:vAlign w:val="bottom"/>
          </w:tcPr>
          <w:p>
            <w:pPr>
              <w:jc w:val="right"/>
              <w:ind w:right="870"/>
              <w:spacing w:after="0"/>
              <w:rPr>
                <w:sz w:val="20"/>
                <w:szCs w:val="20"/>
                <w:color w:val="auto"/>
              </w:rPr>
            </w:pPr>
            <w:r>
              <w:rPr>
                <w:rFonts w:ascii="Arial" w:cs="Arial" w:eastAsia="Arial" w:hAnsi="Arial"/>
                <w:sz w:val="18"/>
                <w:szCs w:val="18"/>
                <w:color w:val="auto"/>
                <w:w w:val="88"/>
              </w:rPr>
              <w:t>10.98</w:t>
            </w:r>
          </w:p>
        </w:tc>
        <w:tc>
          <w:tcPr>
            <w:tcW w:w="9820" w:type="dxa"/>
            <w:vAlign w:val="bottom"/>
            <w:tcBorders>
              <w:bottom w:val="single" w:sz="8" w:color="0000EE"/>
            </w:tcBorders>
            <w:gridSpan w:val="5"/>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Amendment to the Registration Rights Agreement, dated January 21, 2018, by and among BioCryst Pharmaceuticals, Inc., 667, L.P. and</w:t>
              </w:r>
            </w:hyperlink>
          </w:p>
        </w:tc>
        <w:tc>
          <w:tcPr>
            <w:tcW w:w="1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6"/>
          </w:tcPr>
          <w:p>
            <w:pPr>
              <w:spacing w:after="0" w:line="196" w:lineRule="exact"/>
              <w:rPr>
                <w:rFonts w:ascii="Arial" w:cs="Arial" w:eastAsia="Arial" w:hAnsi="Arial"/>
                <w:sz w:val="18"/>
                <w:szCs w:val="18"/>
                <w:color w:val="0000EE"/>
                <w:w w:val="97"/>
              </w:rPr>
            </w:pPr>
            <w:hyperlink r:id="rId214">
              <w:r>
                <w:rPr>
                  <w:rFonts w:ascii="Arial" w:cs="Arial" w:eastAsia="Arial" w:hAnsi="Arial"/>
                  <w:sz w:val="18"/>
                  <w:szCs w:val="18"/>
                  <w:color w:val="0000EE"/>
                  <w:w w:val="97"/>
                </w:rPr>
                <w:t>Baker Brothers Life Sciences, L.P. Incorporated by reference to Exhibit 10.1 to the Company’s Form 8-K filed January 22, 2018.</w:t>
              </w:r>
            </w:hyperlink>
          </w:p>
        </w:tc>
      </w:tr>
      <w:tr>
        <w:trPr>
          <w:trHeight w:val="20"/>
        </w:trPr>
        <w:tc>
          <w:tcPr>
            <w:tcW w:w="1380" w:type="dxa"/>
            <w:vAlign w:val="bottom"/>
          </w:tcPr>
          <w:p>
            <w:pPr>
              <w:spacing w:after="0" w:line="20" w:lineRule="exact"/>
              <w:rPr>
                <w:sz w:val="1"/>
                <w:szCs w:val="1"/>
                <w:color w:val="auto"/>
              </w:rPr>
            </w:pPr>
          </w:p>
        </w:tc>
        <w:tc>
          <w:tcPr>
            <w:tcW w:w="710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1380" w:type="dxa"/>
            <w:vAlign w:val="bottom"/>
          </w:tcPr>
          <w:p>
            <w:pPr>
              <w:jc w:val="right"/>
              <w:ind w:right="870"/>
              <w:spacing w:after="0"/>
              <w:rPr>
                <w:sz w:val="20"/>
                <w:szCs w:val="20"/>
                <w:color w:val="auto"/>
              </w:rPr>
            </w:pPr>
            <w:r>
              <w:rPr>
                <w:rFonts w:ascii="Arial" w:cs="Arial" w:eastAsia="Arial" w:hAnsi="Arial"/>
                <w:sz w:val="18"/>
                <w:szCs w:val="18"/>
                <w:color w:val="auto"/>
                <w:w w:val="88"/>
              </w:rPr>
              <w:t>10.99</w:t>
            </w:r>
          </w:p>
        </w:tc>
        <w:tc>
          <w:tcPr>
            <w:tcW w:w="9760" w:type="dxa"/>
            <w:vAlign w:val="bottom"/>
            <w:tcBorders>
              <w:bottom w:val="single" w:sz="8" w:color="0000EE"/>
            </w:tcBorders>
            <w:gridSpan w:val="4"/>
          </w:tcPr>
          <w:p>
            <w:pPr>
              <w:spacing w:after="0"/>
              <w:rPr>
                <w:rFonts w:ascii="Arial" w:cs="Arial" w:eastAsia="Arial" w:hAnsi="Arial"/>
                <w:sz w:val="18"/>
                <w:szCs w:val="18"/>
                <w:color w:val="0000EE"/>
                <w:w w:val="89"/>
              </w:rPr>
            </w:pPr>
            <w:hyperlink r:id="rId215">
              <w:r>
                <w:rPr>
                  <w:rFonts w:ascii="Arial" w:cs="Arial" w:eastAsia="Arial" w:hAnsi="Arial"/>
                  <w:sz w:val="18"/>
                  <w:szCs w:val="18"/>
                  <w:color w:val="0000EE"/>
                  <w:w w:val="89"/>
                </w:rPr>
                <w:t>Agreement dated as of September 1, 2018 between BioCryst Pharmaceuticals, Inc. and the Centers for Disease Control and Prevention.</w:t>
              </w:r>
            </w:hyperlink>
          </w:p>
        </w:tc>
        <w:tc>
          <w:tcPr>
            <w:tcW w:w="18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940" w:type="dxa"/>
            <w:vAlign w:val="bottom"/>
            <w:gridSpan w:val="6"/>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Incorporated by reference to Exhibit 10.1 to the Company’s Form 8-K filed on September 6, 2018.</w:t>
              </w:r>
            </w:hyperlink>
          </w:p>
        </w:tc>
      </w:tr>
      <w:tr>
        <w:trPr>
          <w:trHeight w:val="20"/>
        </w:trPr>
        <w:tc>
          <w:tcPr>
            <w:tcW w:w="1380" w:type="dxa"/>
            <w:vAlign w:val="bottom"/>
          </w:tcPr>
          <w:p>
            <w:pPr>
              <w:spacing w:after="0" w:line="20" w:lineRule="exact"/>
              <w:rPr>
                <w:sz w:val="1"/>
                <w:szCs w:val="1"/>
                <w:color w:val="auto"/>
              </w:rPr>
            </w:pPr>
          </w:p>
        </w:tc>
        <w:tc>
          <w:tcPr>
            <w:tcW w:w="71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80" w:hanging="1372"/>
        <w:spacing w:after="0"/>
        <w:tabs>
          <w:tab w:leader="none" w:pos="1380" w:val="left"/>
        </w:tabs>
        <w:numPr>
          <w:ilvl w:val="0"/>
          <w:numId w:val="38"/>
        </w:numPr>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Subsidiaries of the Registrant.</w:t>
        </w:r>
      </w:hyperlink>
    </w:p>
    <w:p>
      <w:pPr>
        <w:spacing w:after="0" w:line="225" w:lineRule="exact"/>
        <w:rPr>
          <w:sz w:val="20"/>
          <w:szCs w:val="20"/>
          <w:color w:val="auto"/>
        </w:rPr>
      </w:pPr>
    </w:p>
    <w:p>
      <w:pPr>
        <w:ind w:left="1380" w:hanging="1372"/>
        <w:spacing w:after="0"/>
        <w:tabs>
          <w:tab w:leader="none" w:pos="1380" w:val="left"/>
        </w:tabs>
        <w:numPr>
          <w:ilvl w:val="0"/>
          <w:numId w:val="39"/>
        </w:numPr>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Consent of Ernst &amp; Young, LLP, Independent Registered Public Accounting Firm.</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jc w:val="right"/>
              <w:ind w:right="850"/>
              <w:spacing w:after="0"/>
              <w:rPr>
                <w:sz w:val="20"/>
                <w:szCs w:val="20"/>
                <w:color w:val="auto"/>
              </w:rPr>
            </w:pPr>
            <w:r>
              <w:rPr>
                <w:rFonts w:ascii="Arial" w:cs="Arial" w:eastAsia="Arial" w:hAnsi="Arial"/>
                <w:sz w:val="18"/>
                <w:szCs w:val="18"/>
                <w:color w:val="auto"/>
                <w:w w:val="89"/>
              </w:rPr>
              <w:t>(31.1)</w:t>
            </w:r>
          </w:p>
        </w:tc>
        <w:tc>
          <w:tcPr>
            <w:tcW w:w="75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Certification of the Chief Executive Officer Pursuant to Section 302 of the Sarbanes-Oxley Act of 2002.</w:t>
              </w:r>
            </w:hyperlink>
          </w:p>
        </w:tc>
        <w:tc>
          <w:tcPr>
            <w:tcW w:w="1200" w:type="dxa"/>
            <w:vAlign w:val="bottom"/>
          </w:tcPr>
          <w:p>
            <w:pPr>
              <w:spacing w:after="0"/>
              <w:rPr>
                <w:sz w:val="17"/>
                <w:szCs w:val="17"/>
                <w:color w:val="auto"/>
              </w:rPr>
            </w:pPr>
          </w:p>
        </w:tc>
      </w:tr>
      <w:tr>
        <w:trPr>
          <w:trHeight w:val="412"/>
        </w:trPr>
        <w:tc>
          <w:tcPr>
            <w:tcW w:w="1380" w:type="dxa"/>
            <w:vAlign w:val="bottom"/>
          </w:tcPr>
          <w:p>
            <w:pPr>
              <w:jc w:val="right"/>
              <w:ind w:right="850"/>
              <w:spacing w:after="0"/>
              <w:rPr>
                <w:sz w:val="20"/>
                <w:szCs w:val="20"/>
                <w:color w:val="auto"/>
              </w:rPr>
            </w:pPr>
            <w:r>
              <w:rPr>
                <w:rFonts w:ascii="Arial" w:cs="Arial" w:eastAsia="Arial" w:hAnsi="Arial"/>
                <w:sz w:val="18"/>
                <w:szCs w:val="18"/>
                <w:color w:val="auto"/>
                <w:w w:val="89"/>
              </w:rPr>
              <w:t>(31.2)</w:t>
            </w:r>
          </w:p>
        </w:tc>
        <w:tc>
          <w:tcPr>
            <w:tcW w:w="8720" w:type="dxa"/>
            <w:vAlign w:val="bottom"/>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Certification of the Chief Financial Officer Pursuant to Section 302 of the Sarbanes-Oxley Act of 2002.</w:t>
              </w:r>
            </w:hyperlink>
          </w:p>
        </w:tc>
      </w:tr>
      <w:tr>
        <w:trPr>
          <w:trHeight w:val="20"/>
        </w:trPr>
        <w:tc>
          <w:tcPr>
            <w:tcW w:w="1380" w:type="dxa"/>
            <w:vAlign w:val="bottom"/>
          </w:tcPr>
          <w:p>
            <w:pPr>
              <w:spacing w:after="0" w:line="20" w:lineRule="exact"/>
              <w:rPr>
                <w:sz w:val="1"/>
                <w:szCs w:val="1"/>
                <w:color w:val="auto"/>
              </w:rPr>
            </w:pPr>
          </w:p>
        </w:tc>
        <w:tc>
          <w:tcPr>
            <w:tcW w:w="746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1380" w:type="dxa"/>
            <w:vAlign w:val="bottom"/>
          </w:tcPr>
          <w:p>
            <w:pPr>
              <w:jc w:val="right"/>
              <w:ind w:right="850"/>
              <w:spacing w:after="0"/>
              <w:rPr>
                <w:sz w:val="20"/>
                <w:szCs w:val="20"/>
                <w:color w:val="auto"/>
              </w:rPr>
            </w:pPr>
            <w:r>
              <w:rPr>
                <w:rFonts w:ascii="Arial" w:cs="Arial" w:eastAsia="Arial" w:hAnsi="Arial"/>
                <w:sz w:val="18"/>
                <w:szCs w:val="18"/>
                <w:color w:val="auto"/>
                <w:w w:val="89"/>
              </w:rPr>
              <w:t>(32.1)</w:t>
            </w:r>
          </w:p>
        </w:tc>
        <w:tc>
          <w:tcPr>
            <w:tcW w:w="8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Certification pursuant to 18 U.S.C. Section 1350, as adopted pursuant to Section 906 of the Sarbanes-Oxley Act of 2002.</w:t>
              </w:r>
            </w:hyperlink>
          </w:p>
        </w:tc>
      </w:tr>
      <w:tr>
        <w:trPr>
          <w:trHeight w:val="412"/>
        </w:trPr>
        <w:tc>
          <w:tcPr>
            <w:tcW w:w="1380" w:type="dxa"/>
            <w:vAlign w:val="bottom"/>
          </w:tcPr>
          <w:p>
            <w:pPr>
              <w:jc w:val="right"/>
              <w:ind w:right="850"/>
              <w:spacing w:after="0"/>
              <w:rPr>
                <w:sz w:val="20"/>
                <w:szCs w:val="20"/>
                <w:color w:val="auto"/>
              </w:rPr>
            </w:pPr>
            <w:r>
              <w:rPr>
                <w:rFonts w:ascii="Arial" w:cs="Arial" w:eastAsia="Arial" w:hAnsi="Arial"/>
                <w:sz w:val="18"/>
                <w:szCs w:val="18"/>
                <w:color w:val="auto"/>
                <w:w w:val="89"/>
              </w:rPr>
              <w:t>(32.2)</w:t>
            </w:r>
          </w:p>
        </w:tc>
        <w:tc>
          <w:tcPr>
            <w:tcW w:w="87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Certification pursuant to 18 U.S.C. Section 1350, as adopted pursuant to Section 906 of the Sarbanes-Oxley Act of 2002.</w:t>
              </w:r>
            </w:hyperlink>
          </w:p>
        </w:tc>
      </w:tr>
    </w:tbl>
    <w:p>
      <w:pPr>
        <w:spacing w:after="0" w:line="229" w:lineRule="exact"/>
        <w:rPr>
          <w:sz w:val="20"/>
          <w:szCs w:val="20"/>
          <w:color w:val="auto"/>
        </w:rPr>
      </w:pPr>
    </w:p>
    <w:p>
      <w:pPr>
        <w:ind w:left="1380" w:right="40" w:hanging="1372"/>
        <w:spacing w:after="0" w:line="312" w:lineRule="auto"/>
        <w:tabs>
          <w:tab w:leader="none" w:pos="1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Financial statements from the Annual Report on Form 10-K of BioCryst Pharmaceuticals, Inc. for the year ended December 31, 2018, formatted in XBRL: (i) Consolidated Balance Sheets, (ii) Consolidated Statements of Comprehensive Loss, (iii) Consolidated Statements of Cash Flows, (iv) Consolidated Statements of Stockholders’ Equity and (v) Notes to Consolidated Financial Statements.</w:t>
      </w:r>
    </w:p>
    <w:p>
      <w:pPr>
        <w:spacing w:after="0" w:line="147" w:lineRule="exact"/>
        <w:rPr>
          <w:sz w:val="20"/>
          <w:szCs w:val="20"/>
          <w:color w:val="auto"/>
        </w:rPr>
      </w:pPr>
    </w:p>
    <w:p>
      <w:pPr>
        <w:ind w:left="1380" w:hanging="1372"/>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Confidential treatment granted.</w:t>
      </w:r>
    </w:p>
    <w:p>
      <w:pPr>
        <w:spacing w:after="0" w:line="23" w:lineRule="exact"/>
        <w:rPr>
          <w:sz w:val="20"/>
          <w:szCs w:val="20"/>
          <w:color w:val="auto"/>
        </w:rPr>
      </w:pPr>
    </w:p>
    <w:p>
      <w:pPr>
        <w:ind w:left="1380" w:hanging="1372"/>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contracts.</w:t>
      </w:r>
    </w:p>
    <w:p>
      <w:pPr>
        <w:spacing w:after="0" w:line="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20"/>
          </w:cols>
          <w:pgMar w:left="240" w:top="567"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14, 2019.</w:t>
      </w:r>
    </w:p>
    <w:p>
      <w:pPr>
        <w:spacing w:after="0" w:line="38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BIOCRYST PHARMACEUTICALS, INC.</w:t>
      </w:r>
    </w:p>
    <w:p>
      <w:pPr>
        <w:spacing w:after="0" w:line="200" w:lineRule="exact"/>
        <w:rPr>
          <w:sz w:val="20"/>
          <w:szCs w:val="20"/>
          <w:color w:val="auto"/>
        </w:rPr>
      </w:pPr>
    </w:p>
    <w:p>
      <w:pPr>
        <w:spacing w:after="0" w:line="241" w:lineRule="exact"/>
        <w:rPr>
          <w:sz w:val="20"/>
          <w:szCs w:val="20"/>
          <w:color w:val="auto"/>
        </w:rPr>
      </w:pPr>
    </w:p>
    <w:tbl>
      <w:tblPr>
        <w:tblLayout w:type="fixed"/>
        <w:tblInd w:w="76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P. Stonehouse</w:t>
            </w:r>
          </w:p>
        </w:tc>
      </w:tr>
      <w:tr>
        <w:trPr>
          <w:trHeight w:val="195"/>
        </w:trPr>
        <w:tc>
          <w:tcPr>
            <w:tcW w:w="580" w:type="dxa"/>
            <w:vAlign w:val="bottom"/>
          </w:tcPr>
          <w:p>
            <w:pPr>
              <w:spacing w:after="0"/>
              <w:rPr>
                <w:sz w:val="16"/>
                <w:szCs w:val="16"/>
                <w:color w:val="auto"/>
              </w:rPr>
            </w:pPr>
          </w:p>
        </w:tc>
        <w:tc>
          <w:tcPr>
            <w:tcW w:w="3180" w:type="dxa"/>
            <w:vAlign w:val="bottom"/>
          </w:tcPr>
          <w:p>
            <w:pPr>
              <w:spacing w:after="0" w:line="195" w:lineRule="exact"/>
              <w:rPr>
                <w:sz w:val="20"/>
                <w:szCs w:val="20"/>
                <w:color w:val="auto"/>
              </w:rPr>
            </w:pPr>
            <w:r>
              <w:rPr>
                <w:rFonts w:ascii="Arial" w:cs="Arial" w:eastAsia="Arial" w:hAnsi="Arial"/>
                <w:sz w:val="18"/>
                <w:szCs w:val="18"/>
                <w:color w:val="auto"/>
              </w:rPr>
              <w:t>Jon P. Stonehouse</w:t>
            </w:r>
          </w:p>
        </w:tc>
      </w:tr>
      <w:tr>
        <w:trPr>
          <w:trHeight w:val="230"/>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14, 2019:</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b w:val="1"/>
                <w:bCs w:val="1"/>
                <w:color w:val="auto"/>
                <w:w w:val="94"/>
              </w:rPr>
              <w:t>Title(s)</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3"/>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 Jon P. Stonehouse</w:t>
            </w:r>
          </w:p>
        </w:tc>
        <w:tc>
          <w:tcPr>
            <w:tcW w:w="7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(Jon P. Stonehouse)</w:t>
            </w:r>
          </w:p>
        </w:tc>
        <w:tc>
          <w:tcPr>
            <w:tcW w:w="7580" w:type="dxa"/>
            <w:vAlign w:val="bottom"/>
            <w:gridSpan w:val="3"/>
          </w:tcPr>
          <w:p>
            <w:pPr>
              <w:jc w:val="center"/>
              <w:ind w:left="3870"/>
              <w:spacing w:after="0"/>
              <w:rPr>
                <w:sz w:val="20"/>
                <w:szCs w:val="20"/>
                <w:color w:val="auto"/>
              </w:rPr>
            </w:pPr>
            <w:r>
              <w:rPr>
                <w:rFonts w:ascii="Arial" w:cs="Arial" w:eastAsia="Arial" w:hAnsi="Arial"/>
                <w:sz w:val="18"/>
                <w:szCs w:val="18"/>
                <w:color w:val="auto"/>
                <w:w w:val="94"/>
              </w:rPr>
              <w:t>(Principal Executive Officer)</w:t>
            </w:r>
          </w:p>
        </w:tc>
      </w:tr>
      <w:tr>
        <w:trPr>
          <w:trHeight w:val="404"/>
        </w:trPr>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2"/>
              </w:rPr>
              <w:t>Senior Vice President, Chief Financial Officer and</w:t>
            </w:r>
          </w:p>
        </w:tc>
      </w:tr>
      <w:tr>
        <w:trPr>
          <w:trHeight w:val="230"/>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Thomas R. Staab II</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87"/>
              </w:rPr>
              <w:t>Treasurer</w:t>
            </w:r>
          </w:p>
        </w:tc>
      </w:tr>
      <w:tr>
        <w:trPr>
          <w:trHeight w:val="182"/>
        </w:trPr>
        <w:tc>
          <w:tcPr>
            <w:tcW w:w="3780" w:type="dxa"/>
            <w:vAlign w:val="bottom"/>
            <w:gridSpan w:val="3"/>
          </w:tcPr>
          <w:p>
            <w:pPr>
              <w:spacing w:after="0" w:line="182" w:lineRule="exact"/>
              <w:rPr>
                <w:sz w:val="20"/>
                <w:szCs w:val="20"/>
                <w:color w:val="auto"/>
              </w:rPr>
            </w:pPr>
            <w:r>
              <w:rPr>
                <w:rFonts w:ascii="Arial" w:cs="Arial" w:eastAsia="Arial" w:hAnsi="Arial"/>
                <w:sz w:val="18"/>
                <w:szCs w:val="18"/>
                <w:color w:val="auto"/>
              </w:rPr>
              <w:t>(Thomas R. Staab II)</w:t>
            </w:r>
          </w:p>
        </w:tc>
        <w:tc>
          <w:tcPr>
            <w:tcW w:w="7580" w:type="dxa"/>
            <w:vAlign w:val="bottom"/>
            <w:gridSpan w:val="3"/>
          </w:tcPr>
          <w:p>
            <w:pPr>
              <w:jc w:val="center"/>
              <w:ind w:left="3850"/>
              <w:spacing w:after="0" w:line="182" w:lineRule="exact"/>
              <w:rPr>
                <w:sz w:val="20"/>
                <w:szCs w:val="20"/>
                <w:color w:val="auto"/>
              </w:rPr>
            </w:pPr>
            <w:r>
              <w:rPr>
                <w:rFonts w:ascii="Arial" w:cs="Arial" w:eastAsia="Arial" w:hAnsi="Arial"/>
                <w:sz w:val="18"/>
                <w:szCs w:val="18"/>
                <w:color w:val="auto"/>
                <w:w w:val="94"/>
              </w:rPr>
              <w:t>(Principal Financial Officer and Principal</w:t>
            </w:r>
          </w:p>
        </w:tc>
      </w:tr>
      <w:tr>
        <w:trPr>
          <w:trHeight w:val="230"/>
        </w:trPr>
        <w:tc>
          <w:tcPr>
            <w:tcW w:w="1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580" w:type="dxa"/>
            <w:vAlign w:val="bottom"/>
            <w:gridSpan w:val="3"/>
          </w:tcPr>
          <w:p>
            <w:pPr>
              <w:jc w:val="center"/>
              <w:ind w:left="3870"/>
              <w:spacing w:after="0"/>
              <w:rPr>
                <w:sz w:val="20"/>
                <w:szCs w:val="20"/>
                <w:color w:val="auto"/>
              </w:rPr>
            </w:pPr>
            <w:r>
              <w:rPr>
                <w:rFonts w:ascii="Arial" w:cs="Arial" w:eastAsia="Arial" w:hAnsi="Arial"/>
                <w:sz w:val="18"/>
                <w:szCs w:val="18"/>
                <w:color w:val="auto"/>
                <w:w w:val="95"/>
              </w:rPr>
              <w:t>Accounting Officer)</w:t>
            </w:r>
          </w:p>
        </w:tc>
      </w:tr>
      <w:tr>
        <w:trPr>
          <w:trHeight w:val="432"/>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B. Abercrombie</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(George B. Abercrombie)</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Stephen Aselage</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(Stephen Aselage)</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Theresa Heggie</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(Theresa Heggie)</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Nancy Hutson</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(Nancy Hutson, Ph.D.)</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A. Ingram</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(Robert A. Ingram)</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3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Kenneth B. Lee, Jr.</w:t>
            </w:r>
          </w:p>
        </w:tc>
        <w:tc>
          <w:tcPr>
            <w:tcW w:w="7580" w:type="dxa"/>
            <w:vAlign w:val="bottom"/>
            <w:gridSpan w:val="3"/>
          </w:tcPr>
          <w:p>
            <w:pPr>
              <w:jc w:val="center"/>
              <w:ind w:left="3850"/>
              <w:spacing w:after="0"/>
              <w:rPr>
                <w:sz w:val="20"/>
                <w:szCs w:val="20"/>
                <w:color w:val="auto"/>
              </w:rPr>
            </w:pPr>
            <w:r>
              <w:rPr>
                <w:rFonts w:ascii="Arial" w:cs="Arial" w:eastAsia="Arial" w:hAnsi="Arial"/>
                <w:sz w:val="18"/>
                <w:szCs w:val="18"/>
                <w:color w:val="auto"/>
                <w:w w:val="95"/>
              </w:rPr>
              <w:t>Director</w:t>
            </w:r>
          </w:p>
        </w:tc>
      </w:tr>
      <w:tr>
        <w:trPr>
          <w:trHeight w:val="224"/>
        </w:trPr>
        <w:tc>
          <w:tcPr>
            <w:tcW w:w="3780" w:type="dxa"/>
            <w:vAlign w:val="bottom"/>
            <w:gridSpan w:val="3"/>
          </w:tcPr>
          <w:p>
            <w:pPr>
              <w:spacing w:after="0"/>
              <w:rPr>
                <w:sz w:val="20"/>
                <w:szCs w:val="20"/>
                <w:color w:val="auto"/>
              </w:rPr>
            </w:pPr>
            <w:r>
              <w:rPr>
                <w:rFonts w:ascii="Arial" w:cs="Arial" w:eastAsia="Arial" w:hAnsi="Arial"/>
                <w:sz w:val="18"/>
                <w:szCs w:val="18"/>
                <w:color w:val="auto"/>
              </w:rPr>
              <w:t>(Kenneth B. Lee, Jr.)</w:t>
            </w:r>
          </w:p>
        </w:tc>
        <w:tc>
          <w:tcPr>
            <w:tcW w:w="5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675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220" w:type="dxa"/>
            <w:vAlign w:val="bottom"/>
            <w:gridSpan w:val="3"/>
          </w:tcPr>
          <w:p>
            <w:pPr>
              <w:ind w:left="1600"/>
              <w:spacing w:after="0"/>
              <w:rPr>
                <w:sz w:val="20"/>
                <w:szCs w:val="20"/>
                <w:color w:val="auto"/>
              </w:rPr>
            </w:pPr>
            <w:r>
              <w:rPr>
                <w:rFonts w:ascii="Arial" w:cs="Arial" w:eastAsia="Arial" w:hAnsi="Arial"/>
                <w:sz w:val="18"/>
                <w:szCs w:val="18"/>
                <w:b w:val="1"/>
                <w:bCs w:val="1"/>
                <w:color w:val="auto"/>
              </w:rPr>
              <w:t>Subsidiaries of the Registrant</w:t>
            </w:r>
          </w:p>
        </w:tc>
      </w:tr>
      <w:tr>
        <w:trPr>
          <w:trHeight w:val="82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Subsidiary</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195"/>
        </w:trPr>
        <w:tc>
          <w:tcPr>
            <w:tcW w:w="20" w:type="dxa"/>
            <w:vAlign w:val="bottom"/>
          </w:tcPr>
          <w:p>
            <w:pPr>
              <w:spacing w:after="0"/>
              <w:rPr>
                <w:sz w:val="16"/>
                <w:szCs w:val="16"/>
                <w:color w:val="auto"/>
              </w:rPr>
            </w:pPr>
          </w:p>
        </w:tc>
        <w:tc>
          <w:tcPr>
            <w:tcW w:w="3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JPR Royalty Sub LLC</w:t>
            </w:r>
          </w:p>
        </w:tc>
        <w:tc>
          <w:tcPr>
            <w:tcW w:w="24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Delaware</w:t>
            </w: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MDCP, LLC</w:t>
            </w:r>
          </w:p>
        </w:tc>
        <w:tc>
          <w:tcPr>
            <w:tcW w:w="2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333333"/>
        </w:rPr>
        <w:t>We consent to the incorporation by reference in the following Registration Statements:</w:t>
      </w:r>
    </w:p>
    <w:p>
      <w:pPr>
        <w:spacing w:after="0" w:line="225" w:lineRule="exact"/>
        <w:rPr>
          <w:sz w:val="20"/>
          <w:szCs w:val="20"/>
          <w:color w:val="auto"/>
        </w:rPr>
      </w:pPr>
    </w:p>
    <w:p>
      <w:pPr>
        <w:ind w:left="540" w:hanging="262"/>
        <w:spacing w:after="0"/>
        <w:tabs>
          <w:tab w:leader="none" w:pos="540" w:val="left"/>
        </w:tabs>
        <w:numPr>
          <w:ilvl w:val="0"/>
          <w:numId w:val="43"/>
        </w:numPr>
        <w:rPr>
          <w:rFonts w:ascii="Arial" w:cs="Arial" w:eastAsia="Arial" w:hAnsi="Arial"/>
          <w:sz w:val="18"/>
          <w:szCs w:val="18"/>
          <w:color w:val="333333"/>
        </w:rPr>
      </w:pPr>
      <w:r>
        <w:rPr>
          <w:rFonts w:ascii="Arial" w:cs="Arial" w:eastAsia="Arial" w:hAnsi="Arial"/>
          <w:sz w:val="18"/>
          <w:szCs w:val="18"/>
          <w:color w:val="333333"/>
        </w:rPr>
        <w:t>Registration Statements (Form S-3 Nos. 333-145638, 333-153084, 333-217859 and 333-221421)</w:t>
      </w:r>
    </w:p>
    <w:p>
      <w:pPr>
        <w:spacing w:after="0" w:line="225" w:lineRule="exact"/>
        <w:rPr>
          <w:rFonts w:ascii="Arial" w:cs="Arial" w:eastAsia="Arial" w:hAnsi="Arial"/>
          <w:sz w:val="18"/>
          <w:szCs w:val="18"/>
          <w:color w:val="333333"/>
        </w:rPr>
      </w:pPr>
    </w:p>
    <w:p>
      <w:pPr>
        <w:ind w:left="540" w:right="360" w:hanging="262"/>
        <w:spacing w:after="0" w:line="277" w:lineRule="auto"/>
        <w:tabs>
          <w:tab w:leader="none" w:pos="540" w:val="left"/>
        </w:tabs>
        <w:numPr>
          <w:ilvl w:val="0"/>
          <w:numId w:val="43"/>
        </w:numPr>
        <w:rPr>
          <w:rFonts w:ascii="Arial" w:cs="Arial" w:eastAsia="Arial" w:hAnsi="Arial"/>
          <w:sz w:val="18"/>
          <w:szCs w:val="18"/>
          <w:color w:val="333333"/>
        </w:rPr>
      </w:pPr>
      <w:r>
        <w:rPr>
          <w:rFonts w:ascii="Arial" w:cs="Arial" w:eastAsia="Arial" w:hAnsi="Arial"/>
          <w:sz w:val="18"/>
          <w:szCs w:val="18"/>
          <w:color w:val="333333"/>
        </w:rPr>
        <w:t>Registration Statements (Form S-8 Nos. 333-120345, 333-39484, 333-30751, 333-136703) pertaining to the BioCryst Pharmaceuticals, Inc. 1991 Stock Option Plan, as amended and restated.</w:t>
      </w:r>
    </w:p>
    <w:p>
      <w:pPr>
        <w:spacing w:after="0" w:line="170" w:lineRule="exact"/>
        <w:rPr>
          <w:rFonts w:ascii="Arial" w:cs="Arial" w:eastAsia="Arial" w:hAnsi="Arial"/>
          <w:sz w:val="18"/>
          <w:szCs w:val="18"/>
          <w:color w:val="333333"/>
        </w:rPr>
      </w:pPr>
    </w:p>
    <w:p>
      <w:pPr>
        <w:ind w:left="540" w:hanging="262"/>
        <w:spacing w:after="0"/>
        <w:tabs>
          <w:tab w:leader="none" w:pos="540" w:val="left"/>
        </w:tabs>
        <w:numPr>
          <w:ilvl w:val="0"/>
          <w:numId w:val="43"/>
        </w:numPr>
        <w:rPr>
          <w:rFonts w:ascii="Arial" w:cs="Arial" w:eastAsia="Arial" w:hAnsi="Arial"/>
          <w:sz w:val="18"/>
          <w:szCs w:val="18"/>
          <w:color w:val="333333"/>
        </w:rPr>
      </w:pPr>
      <w:r>
        <w:rPr>
          <w:rFonts w:ascii="Arial" w:cs="Arial" w:eastAsia="Arial" w:hAnsi="Arial"/>
          <w:sz w:val="18"/>
          <w:szCs w:val="18"/>
          <w:color w:val="333333"/>
        </w:rPr>
        <w:t>Registration Statement (Form S-8 No. 333-90582) pertaining to the BioCryst Pharmaceuticals, Inc. Employee Stock Purchase Plan;</w:t>
      </w:r>
    </w:p>
    <w:p>
      <w:pPr>
        <w:spacing w:after="0" w:line="225" w:lineRule="exact"/>
        <w:rPr>
          <w:rFonts w:ascii="Arial" w:cs="Arial" w:eastAsia="Arial" w:hAnsi="Arial"/>
          <w:sz w:val="18"/>
          <w:szCs w:val="18"/>
          <w:color w:val="333333"/>
        </w:rPr>
      </w:pPr>
    </w:p>
    <w:p>
      <w:pPr>
        <w:ind w:left="540" w:right="220" w:hanging="262"/>
        <w:spacing w:after="0" w:line="308" w:lineRule="auto"/>
        <w:tabs>
          <w:tab w:leader="none" w:pos="540" w:val="left"/>
        </w:tabs>
        <w:numPr>
          <w:ilvl w:val="0"/>
          <w:numId w:val="43"/>
        </w:numPr>
        <w:rPr>
          <w:rFonts w:ascii="Arial" w:cs="Arial" w:eastAsia="Arial" w:hAnsi="Arial"/>
          <w:sz w:val="17"/>
          <w:szCs w:val="17"/>
          <w:color w:val="333333"/>
        </w:rPr>
      </w:pPr>
      <w:r>
        <w:rPr>
          <w:rFonts w:ascii="Arial" w:cs="Arial" w:eastAsia="Arial" w:hAnsi="Arial"/>
          <w:sz w:val="17"/>
          <w:szCs w:val="17"/>
          <w:color w:val="333333"/>
        </w:rPr>
        <w:t>Registration Statement (Form S-8 No. 333-145627) pertaining to the BioCryst Pharmaceuticals, Inc. Stock Incentive Plan, as amended and restated, and the Employment Letter Agreement dated April 2, 2007 between BioCryst Pharmaceuticals, Inc. and David McCullough;</w:t>
      </w:r>
    </w:p>
    <w:p>
      <w:pPr>
        <w:spacing w:after="0" w:line="146" w:lineRule="exact"/>
        <w:rPr>
          <w:rFonts w:ascii="Arial" w:cs="Arial" w:eastAsia="Arial" w:hAnsi="Arial"/>
          <w:sz w:val="17"/>
          <w:szCs w:val="17"/>
          <w:color w:val="333333"/>
        </w:rPr>
      </w:pPr>
    </w:p>
    <w:p>
      <w:pPr>
        <w:ind w:left="540" w:right="360" w:hanging="262"/>
        <w:spacing w:after="0" w:line="277" w:lineRule="auto"/>
        <w:tabs>
          <w:tab w:leader="none" w:pos="540" w:val="left"/>
        </w:tabs>
        <w:numPr>
          <w:ilvl w:val="0"/>
          <w:numId w:val="43"/>
        </w:numPr>
        <w:rPr>
          <w:rFonts w:ascii="Arial" w:cs="Arial" w:eastAsia="Arial" w:hAnsi="Arial"/>
          <w:sz w:val="18"/>
          <w:szCs w:val="18"/>
          <w:color w:val="333333"/>
        </w:rPr>
      </w:pPr>
      <w:r>
        <w:rPr>
          <w:rFonts w:ascii="Arial" w:cs="Arial" w:eastAsia="Arial" w:hAnsi="Arial"/>
          <w:sz w:val="18"/>
          <w:szCs w:val="18"/>
          <w:color w:val="333333"/>
        </w:rPr>
        <w:t>Registration Statements (Form S-8 Nos. 333-176096, 333-211529, 333-218360 and 333-228296) pertaining to the BioCryst Pharmaceuticals, Inc. Stock Incentive Plan, as amended and restated;</w:t>
      </w:r>
    </w:p>
    <w:p>
      <w:pPr>
        <w:spacing w:after="0" w:line="170" w:lineRule="exact"/>
        <w:rPr>
          <w:rFonts w:ascii="Arial" w:cs="Arial" w:eastAsia="Arial" w:hAnsi="Arial"/>
          <w:sz w:val="18"/>
          <w:szCs w:val="18"/>
          <w:color w:val="333333"/>
        </w:rPr>
      </w:pPr>
    </w:p>
    <w:p>
      <w:pPr>
        <w:ind w:left="540" w:right="360" w:hanging="262"/>
        <w:spacing w:after="0" w:line="277" w:lineRule="auto"/>
        <w:tabs>
          <w:tab w:leader="none" w:pos="540" w:val="left"/>
        </w:tabs>
        <w:numPr>
          <w:ilvl w:val="0"/>
          <w:numId w:val="43"/>
        </w:numPr>
        <w:rPr>
          <w:rFonts w:ascii="Arial" w:cs="Arial" w:eastAsia="Arial" w:hAnsi="Arial"/>
          <w:sz w:val="18"/>
          <w:szCs w:val="18"/>
          <w:color w:val="333333"/>
        </w:rPr>
      </w:pPr>
      <w:r>
        <w:rPr>
          <w:rFonts w:ascii="Arial" w:cs="Arial" w:eastAsia="Arial" w:hAnsi="Arial"/>
          <w:sz w:val="18"/>
          <w:szCs w:val="18"/>
          <w:color w:val="333333"/>
        </w:rPr>
        <w:t>Registration Statements (Form S-8 Nos. 333-152570, 333-167830, 333-187193 and 333-195869) pertaining to the BioCryst Pharmaceuticals, Inc. Stock Incentive Plan and the Employee Stock Purchase Plan, each as amended and restated.</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333333"/>
        </w:rPr>
        <w:t>of our reports dated March 14, 2019, with respect to the consolidated financial statements of BioCryst Pharmaceuticals, Inc. and the effectiveness of internal control over financial reporting of BioCryst Pharmaceuticals, Inc. included in this Annual Report (Form 10-K) of BioCryst Pharmaceuticals,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Jon P. Stonehouse, certify that:</w:t>
      </w:r>
    </w:p>
    <w:p>
      <w:pPr>
        <w:spacing w:after="0" w:line="225" w:lineRule="exact"/>
        <w:rPr>
          <w:sz w:val="20"/>
          <w:szCs w:val="20"/>
          <w:color w:val="auto"/>
        </w:rPr>
      </w:pPr>
    </w:p>
    <w:p>
      <w:pPr>
        <w:ind w:left="600" w:hanging="190"/>
        <w:spacing w:after="0"/>
        <w:tabs>
          <w:tab w:leader="none" w:pos="6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BioCryst Pharmaceuticals, Inc.;</w:t>
      </w:r>
    </w:p>
    <w:p>
      <w:pPr>
        <w:spacing w:after="0" w:line="225" w:lineRule="exact"/>
        <w:rPr>
          <w:rFonts w:ascii="Arial" w:cs="Arial" w:eastAsia="Arial" w:hAnsi="Arial"/>
          <w:sz w:val="18"/>
          <w:szCs w:val="18"/>
          <w:color w:val="auto"/>
        </w:rPr>
      </w:pPr>
    </w:p>
    <w:p>
      <w:pPr>
        <w:ind w:right="240" w:firstLine="410"/>
        <w:spacing w:after="0" w:line="342" w:lineRule="auto"/>
        <w:tabs>
          <w:tab w:leader="none" w:pos="594"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10"/>
        <w:spacing w:after="0" w:line="277" w:lineRule="auto"/>
        <w:tabs>
          <w:tab w:leader="none" w:pos="5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410"/>
        <w:spacing w:after="0" w:line="264" w:lineRule="auto"/>
        <w:tabs>
          <w:tab w:leader="none" w:pos="5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00" w:right="220" w:firstLine="416"/>
        <w:spacing w:after="0" w:line="264" w:lineRule="auto"/>
        <w:tabs>
          <w:tab w:leader="none" w:pos="89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00" w:right="480" w:firstLine="416"/>
        <w:spacing w:after="0" w:line="264" w:lineRule="auto"/>
        <w:tabs>
          <w:tab w:leader="none" w:pos="9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00" w:right="720" w:firstLine="416"/>
        <w:spacing w:after="0" w:line="342" w:lineRule="auto"/>
        <w:tabs>
          <w:tab w:leader="none" w:pos="899"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00" w:right="220" w:firstLine="416"/>
        <w:spacing w:after="0" w:line="264" w:lineRule="auto"/>
        <w:tabs>
          <w:tab w:leader="none" w:pos="9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10"/>
        <w:spacing w:after="0" w:line="308" w:lineRule="auto"/>
        <w:tabs>
          <w:tab w:leader="none" w:pos="59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00" w:right="140" w:firstLine="416"/>
        <w:spacing w:after="0" w:line="277" w:lineRule="auto"/>
        <w:tabs>
          <w:tab w:leader="none" w:pos="89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00" w:right="80" w:firstLine="416"/>
        <w:spacing w:after="0" w:line="277" w:lineRule="auto"/>
        <w:tabs>
          <w:tab w:leader="none" w:pos="90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Jon P. Stonehouse</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6188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 March 14, 2019</w:t>
      </w:r>
    </w:p>
    <w:p>
      <w:pPr>
        <w:sectPr>
          <w:pgSz w:w="11900" w:h="16838" w:orient="portrait"/>
          <w:cols w:equalWidth="0" w:num="1">
            <w:col w:w="11300"/>
          </w:cols>
          <w:pgMar w:left="36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 Thomas R. Staab II, certify that:</w:t>
      </w:r>
    </w:p>
    <w:p>
      <w:pPr>
        <w:spacing w:after="0" w:line="225" w:lineRule="exact"/>
        <w:rPr>
          <w:sz w:val="20"/>
          <w:szCs w:val="20"/>
          <w:color w:val="auto"/>
        </w:rPr>
      </w:pPr>
    </w:p>
    <w:p>
      <w:pPr>
        <w:ind w:left="600" w:hanging="190"/>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BioCryst Pharmaceuticals, Inc.;</w:t>
      </w:r>
    </w:p>
    <w:p>
      <w:pPr>
        <w:spacing w:after="0" w:line="225" w:lineRule="exact"/>
        <w:rPr>
          <w:rFonts w:ascii="Arial" w:cs="Arial" w:eastAsia="Arial" w:hAnsi="Arial"/>
          <w:sz w:val="18"/>
          <w:szCs w:val="18"/>
          <w:color w:val="auto"/>
        </w:rPr>
      </w:pPr>
    </w:p>
    <w:p>
      <w:pPr>
        <w:ind w:right="240" w:firstLine="410"/>
        <w:spacing w:after="0" w:line="342" w:lineRule="auto"/>
        <w:tabs>
          <w:tab w:leader="none" w:pos="594"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10"/>
        <w:spacing w:after="0" w:line="277" w:lineRule="auto"/>
        <w:tabs>
          <w:tab w:leader="none" w:pos="5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20" w:firstLine="410"/>
        <w:spacing w:after="0" w:line="264" w:lineRule="auto"/>
        <w:tabs>
          <w:tab w:leader="none" w:pos="59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00" w:right="240" w:firstLine="416"/>
        <w:spacing w:after="0" w:line="264" w:lineRule="auto"/>
        <w:tabs>
          <w:tab w:leader="none" w:pos="8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00" w:right="480" w:firstLine="416"/>
        <w:spacing w:after="0" w:line="264" w:lineRule="auto"/>
        <w:tabs>
          <w:tab w:leader="none" w:pos="8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00" w:right="740" w:firstLine="416"/>
        <w:spacing w:after="0" w:line="342" w:lineRule="auto"/>
        <w:tabs>
          <w:tab w:leader="none" w:pos="884"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00" w:right="220" w:firstLine="416"/>
        <w:spacing w:after="0" w:line="264" w:lineRule="auto"/>
        <w:tabs>
          <w:tab w:leader="none" w:pos="8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0" w:firstLine="410"/>
        <w:spacing w:after="0" w:line="308" w:lineRule="auto"/>
        <w:tabs>
          <w:tab w:leader="none" w:pos="59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00" w:right="160" w:firstLine="416"/>
        <w:spacing w:after="0" w:line="277" w:lineRule="auto"/>
        <w:tabs>
          <w:tab w:leader="none" w:pos="8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00" w:right="100" w:firstLine="416"/>
        <w:spacing w:after="0" w:line="277" w:lineRule="auto"/>
        <w:tabs>
          <w:tab w:leader="none" w:pos="8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Thomas R. Staab II</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-130810</wp:posOffset>
            </wp:positionV>
            <wp:extent cx="36188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Date: March 14, 2019</w:t>
      </w:r>
    </w:p>
    <w:p>
      <w:pPr>
        <w:sectPr>
          <w:pgSz w:w="11900" w:h="16838" w:orient="portrait"/>
          <w:cols w:equalWidth="0" w:num="1">
            <w:col w:w="11300"/>
          </w:cols>
          <w:pgMar w:left="36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firstLine="414"/>
        <w:spacing w:after="0" w:line="286" w:lineRule="auto"/>
        <w:rPr>
          <w:sz w:val="20"/>
          <w:szCs w:val="20"/>
          <w:color w:val="auto"/>
        </w:rPr>
      </w:pPr>
      <w:r>
        <w:rPr>
          <w:rFonts w:ascii="Arial" w:cs="Arial" w:eastAsia="Arial" w:hAnsi="Arial"/>
          <w:sz w:val="17"/>
          <w:szCs w:val="17"/>
          <w:color w:val="auto"/>
        </w:rPr>
        <w:t>In connection with the Annual Report of BioCryst Pharmaceuticals, Inc. (the “Company”) on Form 10-K for the period ending December 31, 2018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1080" w:hanging="24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20" w:right="660" w:firstLine="416"/>
        <w:spacing w:after="0" w:line="277" w:lineRule="auto"/>
        <w:tabs>
          <w:tab w:leader="none" w:pos="108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Jon P. Stonehouse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25" w:lineRule="exact"/>
        <w:rPr>
          <w:sz w:val="20"/>
          <w:szCs w:val="20"/>
          <w:color w:val="auto"/>
        </w:rPr>
      </w:pPr>
    </w:p>
    <w:p>
      <w:pPr>
        <w:ind w:right="40" w:firstLine="414"/>
        <w:spacing w:after="0" w:line="259" w:lineRule="auto"/>
        <w:rPr>
          <w:sz w:val="20"/>
          <w:szCs w:val="20"/>
          <w:color w:val="auto"/>
        </w:rPr>
      </w:pPr>
      <w:r>
        <w:rPr>
          <w:rFonts w:ascii="Arial" w:cs="Arial" w:eastAsia="Arial" w:hAnsi="Arial"/>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14"/>
        <w:spacing w:after="0" w:line="286" w:lineRule="auto"/>
        <w:rPr>
          <w:sz w:val="20"/>
          <w:szCs w:val="20"/>
          <w:color w:val="auto"/>
        </w:rPr>
      </w:pPr>
      <w:r>
        <w:rPr>
          <w:rFonts w:ascii="Arial" w:cs="Arial" w:eastAsia="Arial" w:hAnsi="Arial"/>
          <w:sz w:val="17"/>
          <w:szCs w:val="17"/>
          <w:color w:val="auto"/>
        </w:rPr>
        <w:t>In connection with the Annual Report of BioCryst Pharmaceuticals, Inc. (the “Company”) on Form 10-K for the period ending December 31, 2018 as filed with the Securities and Exchange Commission on the date hereof (the “Report”), I, Thomas R. Staab, II, Chief Financial Officer of the Company, certify, pursuant to 18 U.S.C. § 1350, as adopted pursuant to § 906 of the Sarbanes-Oxley Act of 2002, that, to the best of my knowledge:</w:t>
      </w:r>
    </w:p>
    <w:p>
      <w:pPr>
        <w:spacing w:after="0" w:line="166" w:lineRule="exact"/>
        <w:rPr>
          <w:sz w:val="20"/>
          <w:szCs w:val="20"/>
          <w:color w:val="auto"/>
        </w:rPr>
      </w:pPr>
    </w:p>
    <w:p>
      <w:pPr>
        <w:ind w:left="1080" w:hanging="24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20" w:right="660" w:firstLine="416"/>
        <w:spacing w:after="0" w:line="277" w:lineRule="auto"/>
        <w:tabs>
          <w:tab w:leader="none" w:pos="108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Thomas R. Staab 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Staab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25" w:lineRule="exact"/>
        <w:rPr>
          <w:sz w:val="20"/>
          <w:szCs w:val="20"/>
          <w:color w:val="auto"/>
        </w:rPr>
      </w:pPr>
    </w:p>
    <w:p>
      <w:pPr>
        <w:ind w:right="40" w:firstLine="414"/>
        <w:spacing w:after="0" w:line="259" w:lineRule="auto"/>
        <w:rPr>
          <w:sz w:val="20"/>
          <w:szCs w:val="20"/>
          <w:color w:val="auto"/>
        </w:rPr>
      </w:pPr>
      <w:r>
        <w:rPr>
          <w:rFonts w:ascii="Arial" w:cs="Arial" w:eastAsia="Arial" w:hAnsi="Arial"/>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21"/>
    </w:lvl>
  </w:abstractNum>
  <w:abstractNum w:abstractNumId="38">
    <w:nsid w:val="2A487CB0"/>
    <w:multiLevelType w:val="hybridMultilevel"/>
    <w:lvl w:ilvl="0">
      <w:lvlJc w:val="left"/>
      <w:lvlText w:val="(%1)"/>
      <w:numFmt w:val="decimal"/>
      <w:start w:val="23"/>
    </w:lvl>
  </w:abstractNum>
  <w:abstractNum w:abstractNumId="39">
    <w:nsid w:val="1D4ED43B"/>
    <w:multiLevelType w:val="hybridMultilevel"/>
    <w:lvl w:ilvl="0">
      <w:lvlJc w:val="left"/>
      <w:lvlText w:val="(%1)"/>
      <w:numFmt w:val="decimal"/>
      <w:start w:val="10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amp;"/>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20" Type="http://schemas.openxmlformats.org/officeDocument/2006/relationships/image" Target="media/image95.png"/><Relationship Id="rId140" Type="http://schemas.openxmlformats.org/officeDocument/2006/relationships/image" Target="media/image96.png"/><Relationship Id="rId156" Type="http://schemas.openxmlformats.org/officeDocument/2006/relationships/image" Target="media/image97.png"/><Relationship Id="rId171" Type="http://schemas.openxmlformats.org/officeDocument/2006/relationships/image" Target="media/image98.png"/><Relationship Id="rId186" Type="http://schemas.openxmlformats.org/officeDocument/2006/relationships/image" Target="media/image99.png"/><Relationship Id="rId200" Type="http://schemas.openxmlformats.org/officeDocument/2006/relationships/image" Target="media/image100.png"/><Relationship Id="rId212" Type="http://schemas.openxmlformats.org/officeDocument/2006/relationships/image" Target="media/image101.png"/><Relationship Id="rId216" Type="http://schemas.openxmlformats.org/officeDocument/2006/relationships/image" Target="media/image102.png"/><Relationship Id="rId217" Type="http://schemas.openxmlformats.org/officeDocument/2006/relationships/image" Target="media/image103.png"/><Relationship Id="rId218" Type="http://schemas.openxmlformats.org/officeDocument/2006/relationships/image" Target="media/image104.png"/><Relationship Id="rId219" Type="http://schemas.openxmlformats.org/officeDocument/2006/relationships/image" Target="media/image105.png"/><Relationship Id="rId220" Type="http://schemas.openxmlformats.org/officeDocument/2006/relationships/image" Target="media/image106.png"/><Relationship Id="rId221" Type="http://schemas.openxmlformats.org/officeDocument/2006/relationships/image" Target="media/image107.png"/><Relationship Id="rId102" Type="http://schemas.openxmlformats.org/officeDocument/2006/relationships/hyperlink" Target="http://www.sec.gov/Archives/edgar/data/882796/000103570406000836/d42297exv3w1.htm" TargetMode="External"/><Relationship Id="rId103" Type="http://schemas.openxmlformats.org/officeDocument/2006/relationships/hyperlink" Target="http://www.sec.gov/Archives/edgar/data/882796/000136231007001386/c70813exv3w1.htm" TargetMode="External"/><Relationship Id="rId104" Type="http://schemas.openxmlformats.org/officeDocument/2006/relationships/hyperlink" Target="http://www.sec.gov/Archives/edgar/data/882796/000119312514186707/d722313dex31.htm" TargetMode="External"/><Relationship Id="rId105" Type="http://schemas.openxmlformats.org/officeDocument/2006/relationships/hyperlink" Target="http://www.sec.gov/Archives/edgar/data/882796/000136231008006580/c76716exv3w1.htm" TargetMode="External"/><Relationship Id="rId106" Type="http://schemas.openxmlformats.org/officeDocument/2006/relationships/hyperlink" Target="http://www.sec.gov/Archives/edgar/data/882796/000119312514186707/d722313dex32.htm" TargetMode="External"/><Relationship Id="rId107" Type="http://schemas.openxmlformats.org/officeDocument/2006/relationships/hyperlink" Target="http://www.sec.gov/Archives/edgar/data/882796/000136231008006580/c76716exv3w2.htm" TargetMode="External"/><Relationship Id="rId108" Type="http://schemas.openxmlformats.org/officeDocument/2006/relationships/hyperlink" Target="http://www.sec.gov/Archives/edgar/data/882796/000110465918003194/a18-3548_1ex3d1.htm#Exhibit3_1_084143" TargetMode="External"/><Relationship Id="rId109" Type="http://schemas.openxmlformats.org/officeDocument/2006/relationships/hyperlink" Target="http://www.sec.gov/Archives/edgar/data/882796/000095012311046591/g27110exv4w3.htm" TargetMode="External"/><Relationship Id="rId110" Type="http://schemas.openxmlformats.org/officeDocument/2006/relationships/hyperlink" Target="http://www.sec.gov/Archives/edgar/data/882796/000119312512248790/d358788dex101.htm" TargetMode="External"/><Relationship Id="rId111" Type="http://schemas.openxmlformats.org/officeDocument/2006/relationships/hyperlink" Target="http://www.sec.gov/Archives/edgar/data/882796/000119312514181823/d721175dex101.htm" TargetMode="External"/><Relationship Id="rId112" Type="http://schemas.openxmlformats.org/officeDocument/2006/relationships/hyperlink" Target="http://www.sec.gov/Archives/edgar/data/882796/000117184316010246/exh_101.htm" TargetMode="External"/><Relationship Id="rId113" Type="http://schemas.openxmlformats.org/officeDocument/2006/relationships/hyperlink" Target="http://www.sec.gov/Archives/edgar/data/882796/000117184317003361/exh_101.htm" TargetMode="External"/><Relationship Id="rId114" Type="http://schemas.openxmlformats.org/officeDocument/2006/relationships/hyperlink" Target="http://www.sec.gov/Archives/edgar/data/882796/000117184318007398/exh_101.htm" TargetMode="External"/><Relationship Id="rId115" Type="http://schemas.openxmlformats.org/officeDocument/2006/relationships/hyperlink" Target="http://www.sec.gov/Archives/edgar/data/882796/000119312512248790/d358788dex102.htm" TargetMode="External"/><Relationship Id="rId116" Type="http://schemas.openxmlformats.org/officeDocument/2006/relationships/hyperlink" Target="http://www.sec.gov/Archives/edgar/data/882796/000119312514181823/d721175dex102.htm" TargetMode="External"/><Relationship Id="rId117" Type="http://schemas.openxmlformats.org/officeDocument/2006/relationships/hyperlink" Target="http://www.sec.gov/Archives/edgar/data/882796/000095014408001624/g12086exv10w4.htm" TargetMode="External"/><Relationship Id="rId118" Type="http://schemas.openxmlformats.org/officeDocument/2006/relationships/hyperlink" Target="http://www.sec.gov/Archives/edgar/data/882796/000095014408001624/g12086exv10w5.htm" TargetMode="External"/><Relationship Id="rId119" Type="http://schemas.openxmlformats.org/officeDocument/2006/relationships/hyperlink" Target="http://www.sec.gov/Archives/edgar/data/882796/000117184315001186/exh_107.htm" TargetMode="External"/><Relationship Id="rId121" Type="http://schemas.openxmlformats.org/officeDocument/2006/relationships/hyperlink" Target="http://www.sec.gov/Archives/edgar/data/882796/000117184315001186/exh_108.htm" TargetMode="External"/><Relationship Id="rId122" Type="http://schemas.openxmlformats.org/officeDocument/2006/relationships/hyperlink" Target="http://www.sec.gov/Archives/edgar/data/882796/000119312512109082/d314104dex101.htm" TargetMode="External"/><Relationship Id="rId123" Type="http://schemas.openxmlformats.org/officeDocument/2006/relationships/hyperlink" Target="http://www.sec.gov/Archives/edgar/data/882796/000095014408001624/g12086exv10w2.htm" TargetMode="External"/><Relationship Id="rId124" Type="http://schemas.openxmlformats.org/officeDocument/2006/relationships/hyperlink" Target="http://www.sec.gov/Archives/edgar/data/882796/000095014407002193/g06036exv10w12.htm" TargetMode="External"/><Relationship Id="rId125" Type="http://schemas.openxmlformats.org/officeDocument/2006/relationships/hyperlink" Target="http://www.sec.gov/Archives/edgar/data/882796/000095012311053914/g27379exv10w1.htm" TargetMode="External"/><Relationship Id="rId126" Type="http://schemas.openxmlformats.org/officeDocument/2006/relationships/hyperlink" Target="http://www.sec.gov/Archives/edgar/data/882796/000136231008004374/c74405exv10w27.htm" TargetMode="External"/><Relationship Id="rId127" Type="http://schemas.openxmlformats.org/officeDocument/2006/relationships/hyperlink" Target="http://www.sec.gov/Archives/edgar/data/882796/000119312514091609/d668682dex1010.htm" TargetMode="External"/><Relationship Id="rId128" Type="http://schemas.openxmlformats.org/officeDocument/2006/relationships/hyperlink" Target="http://www.sec.gov/Archives/edgar/data/882796/000119312514091609/d668682dex1011.htm" TargetMode="External"/><Relationship Id="rId129" Type="http://schemas.openxmlformats.org/officeDocument/2006/relationships/hyperlink" Target="http://www.sec.gov/Archives/edgar/data/882796/000117184315001186/exh_1016.htm" TargetMode="External"/><Relationship Id="rId130" Type="http://schemas.openxmlformats.org/officeDocument/2006/relationships/hyperlink" Target="http://www.sec.gov/Archives/edgar/data/882796/000136231007001714/c70974exv10w3.htm" TargetMode="External"/><Relationship Id="rId131" Type="http://schemas.openxmlformats.org/officeDocument/2006/relationships/hyperlink" Target="http://www.sec.gov/Archives/edgar/data/882796/000095014408001624/g12086exv10w6.htm" TargetMode="External"/><Relationship Id="rId132" Type="http://schemas.openxmlformats.org/officeDocument/2006/relationships/hyperlink" Target="http://www.sec.gov/Archives/edgar/data/882796/000136231008004374/c74405exv10w29.htm" TargetMode="External"/><Relationship Id="rId133" Type="http://schemas.openxmlformats.org/officeDocument/2006/relationships/hyperlink" Target="http://www.sec.gov/Archives/edgar/data/882796/000136231008004374/c74405exv10w30.htm" TargetMode="External"/><Relationship Id="rId134" Type="http://schemas.openxmlformats.org/officeDocument/2006/relationships/hyperlink" Target="http://www.sec.gov/Archives/edgar/data/882796/000136231008006904/c76957exv10w1.htm" TargetMode="External"/><Relationship Id="rId135" Type="http://schemas.openxmlformats.org/officeDocument/2006/relationships/hyperlink" Target="http://www.sec.gov/Archives/edgar/data/882796/000095014409001988/g17975exv10w12.htm" TargetMode="External"/><Relationship Id="rId136" Type="http://schemas.openxmlformats.org/officeDocument/2006/relationships/hyperlink" Target="http://www.sec.gov/Archives/edgar/data/882796/000095012310022477/g22405exv10w13.htm" TargetMode="External"/><Relationship Id="rId137" Type="http://schemas.openxmlformats.org/officeDocument/2006/relationships/hyperlink" Target="http://www.sec.gov/Archives/edgar/data/882796/000095012309058582/c91654exv10w1.htm" TargetMode="External"/><Relationship Id="rId138" Type="http://schemas.openxmlformats.org/officeDocument/2006/relationships/hyperlink" Target="http://www.sec.gov/Archives/edgar/data/882796/000095012309058582/c91654exv10w2.htm" TargetMode="External"/><Relationship Id="rId139" Type="http://schemas.openxmlformats.org/officeDocument/2006/relationships/hyperlink" Target="http://www.sec.gov/Archives/edgar/data/882796/000095012311025567/g26459exv10w25.htm" TargetMode="External"/><Relationship Id="rId141" Type="http://schemas.openxmlformats.org/officeDocument/2006/relationships/hyperlink" Target="http://www.sec.gov/Archives/edgar/data/882796/000119312513210965/d514841dex101.htm" TargetMode="External"/><Relationship Id="rId142" Type="http://schemas.openxmlformats.org/officeDocument/2006/relationships/hyperlink" Target="http://www.sec.gov/Archives/edgar/data/882796/000119312514091609/d668682dex1023.htm" TargetMode="External"/><Relationship Id="rId143" Type="http://schemas.openxmlformats.org/officeDocument/2006/relationships/hyperlink" Target="http://www.sec.gov/Archives/edgar/data/882796/000119312513247739/d550350dex101.htm" TargetMode="External"/><Relationship Id="rId144" Type="http://schemas.openxmlformats.org/officeDocument/2006/relationships/hyperlink" Target="http://www.sec.gov/Archives/edgar/data/882796/000119312513434942/d605961dex101.htm" TargetMode="External"/><Relationship Id="rId145" Type="http://schemas.openxmlformats.org/officeDocument/2006/relationships/hyperlink" Target="http://www.sec.gov/Archives/edgar/data/882796/000119312513481935/d648526dex101.htm" TargetMode="External"/><Relationship Id="rId146" Type="http://schemas.openxmlformats.org/officeDocument/2006/relationships/hyperlink" Target="http://www.sec.gov/Archives/edgar/data/882796/000119312514068702/d682931dex101.htm" TargetMode="External"/><Relationship Id="rId147" Type="http://schemas.openxmlformats.org/officeDocument/2006/relationships/hyperlink" Target="http://www.sec.gov/Archives/edgar/data/882796/000095012310022477/g22405exv10w16.htm" TargetMode="External"/><Relationship Id="rId148" Type="http://schemas.openxmlformats.org/officeDocument/2006/relationships/hyperlink" Target="http://www.sec.gov/Archives/edgar/data/882796/000119312514128842/d703438dex101.htm" TargetMode="External"/><Relationship Id="rId149" Type="http://schemas.openxmlformats.org/officeDocument/2006/relationships/hyperlink" Target="http://www.sec.gov/Archives/edgar/data/882796/000119312514179042/d719810dex101.htm" TargetMode="External"/><Relationship Id="rId150" Type="http://schemas.openxmlformats.org/officeDocument/2006/relationships/hyperlink" Target="http://www.sec.gov/Archives/edgar/data/882796/000119312514226853/d736465dex101.htm" TargetMode="External"/><Relationship Id="rId151" Type="http://schemas.openxmlformats.org/officeDocument/2006/relationships/hyperlink" Target="http://www.sec.gov/Archives/edgar/data/882796/000136231007000766/c70517exv10w4.htm" TargetMode="External"/><Relationship Id="rId152" Type="http://schemas.openxmlformats.org/officeDocument/2006/relationships/hyperlink" Target="http://www.sec.gov/Archives/edgar/data/882796/000095014409001988/g17975exv10w19.htm" TargetMode="External"/><Relationship Id="rId153" Type="http://schemas.openxmlformats.org/officeDocument/2006/relationships/hyperlink" Target="http://www.sec.gov/Archives/edgar/data/882796/000089155400001871/0000891554-00-001871-0002.htm" TargetMode="External"/><Relationship Id="rId154" Type="http://schemas.openxmlformats.org/officeDocument/2006/relationships/hyperlink" Target="http://www.sec.gov/Archives/edgar/data/882796/000136231007001714/c70974exv10w4.htm" TargetMode="External"/><Relationship Id="rId155" Type="http://schemas.openxmlformats.org/officeDocument/2006/relationships/hyperlink" Target="http://www.sec.gov/Archives/edgar/data/882796/000119312513100999/d444056dex1027.htm" TargetMode="External"/><Relationship Id="rId157" Type="http://schemas.openxmlformats.org/officeDocument/2006/relationships/hyperlink" Target="http://www.sec.gov/Archives/edgar/data/882796/000117184315001186/exh_1042.htm" TargetMode="External"/><Relationship Id="rId158" Type="http://schemas.openxmlformats.org/officeDocument/2006/relationships/hyperlink" Target="http://www.sec.gov/Archives/edgar/data/882796/000136231007001618/c70922exv4w1.htm" TargetMode="External"/><Relationship Id="rId159" Type="http://schemas.openxmlformats.org/officeDocument/2006/relationships/hyperlink" Target="http://www.sec.gov/Archives/edgar/data/882796/000095013405003342/d22636exv4w1.htm" TargetMode="External"/><Relationship Id="rId160" Type="http://schemas.openxmlformats.org/officeDocument/2006/relationships/hyperlink" Target="http://www.sec.gov/Archives/edgar/data/882796/000103570406000304/d35569exv10w2.htm" TargetMode="External"/><Relationship Id="rId161" Type="http://schemas.openxmlformats.org/officeDocument/2006/relationships/hyperlink" Target="http://www.sec.gov/Archives/edgar/data/882796/000119312512098926/d306545dex1032.htm" TargetMode="External"/><Relationship Id="rId162" Type="http://schemas.openxmlformats.org/officeDocument/2006/relationships/hyperlink" Target="http://www.sec.gov/Archives/edgar/data/882796/000095013405022335/d30856exv10w1.htm" TargetMode="External"/><Relationship Id="rId163" Type="http://schemas.openxmlformats.org/officeDocument/2006/relationships/hyperlink" Target="http://www.sec.gov/Archives/edgar/data/882796/000095012310022477/g22405exv10w33.htm" TargetMode="External"/><Relationship Id="rId164" Type="http://schemas.openxmlformats.org/officeDocument/2006/relationships/hyperlink" Target="http://www.sec.gov/Archives/edgar/data/882796/000095012310074183/g24253exv10w1.htm" TargetMode="External"/><Relationship Id="rId165" Type="http://schemas.openxmlformats.org/officeDocument/2006/relationships/hyperlink" Target="http://www.sec.gov/Archives/edgar/data/882796/000119312512098926/d306545dex1036.htm" TargetMode="External"/><Relationship Id="rId166" Type="http://schemas.openxmlformats.org/officeDocument/2006/relationships/hyperlink" Target="http://www.sec.gov/Archives/edgar/data/882796/000119312512343906/d350863dex101.htm" TargetMode="External"/><Relationship Id="rId167" Type="http://schemas.openxmlformats.org/officeDocument/2006/relationships/hyperlink" Target="http://www.sec.gov/Archives/edgar/data/882796/000117184315004473/exh_106.htm" TargetMode="External"/><Relationship Id="rId168" Type="http://schemas.openxmlformats.org/officeDocument/2006/relationships/hyperlink" Target="http://www.sec.gov/Archives/edgar/data/882796/000117184315004473/exh_107.htm" TargetMode="External"/><Relationship Id="rId169" Type="http://schemas.openxmlformats.org/officeDocument/2006/relationships/hyperlink" Target="http://www.sec.gov/Archives/edgar/data/882796/000095012311046591/g27110exv10w1.htm" TargetMode="External"/><Relationship Id="rId170" Type="http://schemas.openxmlformats.org/officeDocument/2006/relationships/hyperlink" Target="http://www.sec.gov/Archives/edgar/data/882796/000095012311046591/g27110exv10w2.htm" TargetMode="External"/><Relationship Id="rId172" Type="http://schemas.openxmlformats.org/officeDocument/2006/relationships/hyperlink" Target="http://www.sec.gov/Archives/edgar/data/882796/000095012311046591/g27110exv10w3.htm" TargetMode="External"/><Relationship Id="rId173" Type="http://schemas.openxmlformats.org/officeDocument/2006/relationships/hyperlink" Target="http://www.sec.gov/Archives/edgar/data/882796/000119312513434942/d605961dex102.htm" TargetMode="External"/><Relationship Id="rId174" Type="http://schemas.openxmlformats.org/officeDocument/2006/relationships/hyperlink" Target="http://www.sec.gov/Archives/edgar/data/882796/000119312514091609/d668682dex1051.htm" TargetMode="External"/><Relationship Id="rId175" Type="http://schemas.openxmlformats.org/officeDocument/2006/relationships/hyperlink" Target="http://www.sec.gov/Archives/edgar/data/882796/000119312514091609/d668682dex1052.htm" TargetMode="External"/><Relationship Id="rId176" Type="http://schemas.openxmlformats.org/officeDocument/2006/relationships/hyperlink" Target="http://www.sec.gov/Archives/edgar/data/882796/000117184314003839/exh_105.htm" TargetMode="External"/><Relationship Id="rId177" Type="http://schemas.openxmlformats.org/officeDocument/2006/relationships/hyperlink" Target="http://www.sec.gov/Archives/edgar/data/882796/000117184314003839/exh_106.htm" TargetMode="External"/><Relationship Id="rId178" Type="http://schemas.openxmlformats.org/officeDocument/2006/relationships/hyperlink" Target="http://www.sec.gov/Archives/edgar/data/882796/000117184314005367/exh_101.htm" TargetMode="External"/><Relationship Id="rId179" Type="http://schemas.openxmlformats.org/officeDocument/2006/relationships/hyperlink" Target="http://www.sec.gov/Archives/edgar/data/882796/000117184314005367/exh_102.htm" TargetMode="External"/><Relationship Id="rId180" Type="http://schemas.openxmlformats.org/officeDocument/2006/relationships/hyperlink" Target="http://www.sec.gov/Archives/edgar/data/882796/000117184314005367/exh_103.htm" TargetMode="External"/><Relationship Id="rId181" Type="http://schemas.openxmlformats.org/officeDocument/2006/relationships/hyperlink" Target="http://www.sec.gov/Archives/edgar/data/882796/000117184314005367/exh_104.htm" TargetMode="External"/><Relationship Id="rId182" Type="http://schemas.openxmlformats.org/officeDocument/2006/relationships/hyperlink" Target="http://www.sec.gov/Archives/edgar/data/882796/000117184315004473/exh_102.htm" TargetMode="External"/><Relationship Id="rId183" Type="http://schemas.openxmlformats.org/officeDocument/2006/relationships/hyperlink" Target="http://www.sec.gov/Archives/edgar/data/882796/000117184315004473/exh_103.htm" TargetMode="External"/><Relationship Id="rId184" Type="http://schemas.openxmlformats.org/officeDocument/2006/relationships/hyperlink" Target="http://www.sec.gov/Archives/edgar/data/882796/000117184315004473/exh_104.htm" TargetMode="External"/><Relationship Id="rId185" Type="http://schemas.openxmlformats.org/officeDocument/2006/relationships/hyperlink" Target="http://www.sec.gov/Archives/edgar/data/882796/000117184315004473/exh_105.htm" TargetMode="External"/><Relationship Id="rId187" Type="http://schemas.openxmlformats.org/officeDocument/2006/relationships/hyperlink" Target="http://www.sec.gov/Archives/edgar/data/882796/000117184315006102/exh_103.htm" TargetMode="External"/><Relationship Id="rId188" Type="http://schemas.openxmlformats.org/officeDocument/2006/relationships/hyperlink" Target="http://www.sec.gov/Archives/edgar/data/882796/000117184316008207/exh_1070.htm" TargetMode="External"/><Relationship Id="rId189" Type="http://schemas.openxmlformats.org/officeDocument/2006/relationships/hyperlink" Target="http://www.sec.gov/Archives/edgar/data/882796/000117184316008207/exh_1071.htm" TargetMode="External"/><Relationship Id="rId190" Type="http://schemas.openxmlformats.org/officeDocument/2006/relationships/hyperlink" Target="http://www.sec.gov/Archives/edgar/data/882796/000117184317001159/exh_1074.htm" TargetMode="External"/><Relationship Id="rId191" Type="http://schemas.openxmlformats.org/officeDocument/2006/relationships/hyperlink" Target="http://www.sec.gov/Archives/edgar/data/882796/000117184316011576/exh_103.htm" TargetMode="External"/><Relationship Id="rId192" Type="http://schemas.openxmlformats.org/officeDocument/2006/relationships/hyperlink" Target="http://www.sec.gov/Archives/edgar/data/882796/000117184316013033/exh_101.htm" TargetMode="External"/><Relationship Id="rId193" Type="http://schemas.openxmlformats.org/officeDocument/2006/relationships/hyperlink" Target="http://www.sec.gov/Archives/edgar/data/882796/000117184317001159/exh_1077.htm" TargetMode="External"/><Relationship Id="rId194" Type="http://schemas.openxmlformats.org/officeDocument/2006/relationships/hyperlink" Target="http://www.sec.gov/Archives/edgar/data/882796/000117184318003719/exh_101.htm" TargetMode="External"/><Relationship Id="rId195" Type="http://schemas.openxmlformats.org/officeDocument/2006/relationships/hyperlink" Target="http://www.sec.gov/Archives/edgar/data/882796/000117184318007788/exh_103.htm" TargetMode="External"/><Relationship Id="rId196" Type="http://schemas.openxmlformats.org/officeDocument/2006/relationships/hyperlink" Target="http://www.sec.gov/Archives/edgar/data/882796/000117184315002688/exh_102.htm" TargetMode="External"/><Relationship Id="rId197" Type="http://schemas.openxmlformats.org/officeDocument/2006/relationships/hyperlink" Target="http://www.sec.gov/Archives/edgar/data/882796/000117184315004473/exh_101.htm" TargetMode="External"/><Relationship Id="rId198" Type="http://schemas.openxmlformats.org/officeDocument/2006/relationships/hyperlink" Target="http://www.sec.gov/Archives/edgar/data/882796/000117184315006102/exh_101.htm" TargetMode="External"/><Relationship Id="rId199" Type="http://schemas.openxmlformats.org/officeDocument/2006/relationships/hyperlink" Target="http://www.sec.gov/Archives/edgar/data/882796/000117184315006102/exh_102.htm" TargetMode="External"/><Relationship Id="rId201" Type="http://schemas.openxmlformats.org/officeDocument/2006/relationships/hyperlink" Target="http://www.sec.gov/Archives/edgar/data/882796/000117184316009811/exh_101.htm" TargetMode="External"/><Relationship Id="rId202" Type="http://schemas.openxmlformats.org/officeDocument/2006/relationships/hyperlink" Target="http://www.sec.gov/Archives/edgar/data/882796/000117184316011576/exh_101.htm" TargetMode="External"/><Relationship Id="rId203" Type="http://schemas.openxmlformats.org/officeDocument/2006/relationships/hyperlink" Target="http://www.sec.gov/Archives/edgar/data/882796/000117184316011576/exh_102.htm" TargetMode="External"/><Relationship Id="rId204" Type="http://schemas.openxmlformats.org/officeDocument/2006/relationships/hyperlink" Target="http://www.sec.gov/Archives/edgar/data/882796/000117184316013033/exh_102.htm" TargetMode="External"/><Relationship Id="rId205" Type="http://schemas.openxmlformats.org/officeDocument/2006/relationships/hyperlink" Target="http://www.sec.gov/Archives/edgar/data/882796/000117184317006746/exh_101.htm" TargetMode="External"/><Relationship Id="rId206" Type="http://schemas.openxmlformats.org/officeDocument/2006/relationships/hyperlink" Target="http://www.sec.gov/Archives/edgar/data/882796/000117184318001855/exh_1088.htm" TargetMode="External"/><Relationship Id="rId207" Type="http://schemas.openxmlformats.org/officeDocument/2006/relationships/hyperlink" Target="http://www.sec.gov/Archives/edgar/data/882796/000117184318007788/exh_101.htm" TargetMode="External"/><Relationship Id="rId208" Type="http://schemas.openxmlformats.org/officeDocument/2006/relationships/hyperlink" Target="http://www.sec.gov/Archives/edgar/data/882796/000117184318007788/exh_102.htm" TargetMode="External"/><Relationship Id="rId209" Type="http://schemas.openxmlformats.org/officeDocument/2006/relationships/hyperlink" Target="http://www.sec.gov/Archives/edgar/data/882796/000117184315004473/exh_108.htm" TargetMode="External"/><Relationship Id="rId210" Type="http://schemas.openxmlformats.org/officeDocument/2006/relationships/hyperlink" Target="http://www.sec.gov/Archives/edgar/data/882796/000117184316013033/exh_103.htm" TargetMode="External"/><Relationship Id="rId211" Type="http://schemas.openxmlformats.org/officeDocument/2006/relationships/hyperlink" Target="http://www.sec.gov/Archives/edgar/data/882796/000117184318007788/exh_105.htm" TargetMode="External"/><Relationship Id="rId213" Type="http://schemas.openxmlformats.org/officeDocument/2006/relationships/hyperlink" Target="http://www.sec.gov/Archives/edgar/data/882796/000117184317001617/exh_101.htm" TargetMode="External"/><Relationship Id="rId214" Type="http://schemas.openxmlformats.org/officeDocument/2006/relationships/hyperlink" Target="http://www.sec.gov/Archives/edgar/data/882796/000110465918003194/a18-3548_1ex10d1.htm" TargetMode="External"/><Relationship Id="rId215" Type="http://schemas.openxmlformats.org/officeDocument/2006/relationships/hyperlink" Target="http://www.sec.gov/Archives/edgar/data/882796/000117184318006425/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2019-12-28T14:24:45Z</dcterms:created>
  <dcterms:modified xsi:type="dcterms:W3CDTF">2019-12-28T14:24:45Z</dcterms:modified>
</cp:coreProperties>
</file>