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MILANO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4505 EMPEROR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BIOCRYST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109,642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Common Stock issued to the reporting person in lieu of 50% of the quarterly cash Board Chair retainer of $22,500.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Alane P. Barnes,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7159" TargetMode="External"/><Relationship Id="rId5" Type="http://schemas.openxmlformats.org/officeDocument/2006/relationships/hyperlink" Target="http://www.sec.gov/cgi-bin/browse-edgar?action=getcompany&amp;CIK=0000882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3168</Characters>
  <CharactersWithSpaces>3688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